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120" w:after="120" w:line="480" w:lineRule="auto"/>
        <w:jc w:val="center"/>
        <w:rPr>
          <w:rFonts w:hint="eastAsia" w:ascii="仿宋" w:hAnsi="仿宋" w:eastAsia="仿宋" w:cs="仿宋"/>
          <w:b/>
          <w:bCs w:val="0"/>
          <w:caps w:val="0"/>
          <w:color w:val="auto"/>
          <w:sz w:val="24"/>
          <w:szCs w:val="24"/>
        </w:rPr>
      </w:pPr>
      <w:r>
        <w:rPr>
          <w:rFonts w:hint="eastAsia" w:ascii="仿宋" w:hAnsi="仿宋" w:eastAsia="仿宋" w:cs="仿宋"/>
          <w:b/>
          <w:bCs w:val="0"/>
          <w:caps w:val="0"/>
          <w:color w:val="auto"/>
          <w:sz w:val="44"/>
        </w:rPr>
        <w:t>采购需求</w:t>
      </w:r>
      <w:bookmarkStart w:id="1" w:name="_GoBack"/>
      <w:bookmarkEnd w:id="1"/>
    </w:p>
    <w:p>
      <w:pPr>
        <w:snapToGrid w:val="0"/>
        <w:spacing w:before="120" w:after="120" w:line="0" w:lineRule="atLeast"/>
        <w:rPr>
          <w:rFonts w:hint="eastAsia" w:ascii="仿宋" w:hAnsi="仿宋" w:eastAsia="仿宋" w:cs="仿宋"/>
          <w:color w:val="auto"/>
          <w:sz w:val="24"/>
          <w:szCs w:val="24"/>
          <w:highlight w:val="yellow"/>
        </w:rPr>
      </w:pPr>
      <w:r>
        <w:rPr>
          <w:rFonts w:hint="eastAsia" w:ascii="仿宋" w:hAnsi="仿宋" w:eastAsia="仿宋" w:cs="仿宋"/>
          <w:color w:val="auto"/>
          <w:sz w:val="24"/>
          <w:szCs w:val="24"/>
        </w:rPr>
        <w:t>项目属性：服务类项目</w:t>
      </w:r>
      <w:r>
        <w:rPr>
          <w:rFonts w:hint="eastAsia" w:ascii="仿宋" w:hAnsi="仿宋" w:eastAsia="仿宋" w:cs="仿宋"/>
          <w:color w:val="auto"/>
          <w:sz w:val="24"/>
          <w:szCs w:val="24"/>
          <w:lang w:eastAsia="zh-CN"/>
        </w:rPr>
        <w:t>。</w:t>
      </w:r>
    </w:p>
    <w:p>
      <w:pPr>
        <w:snapToGrid w:val="0"/>
        <w:spacing w:before="120" w:after="120" w:line="0" w:lineRule="atLeast"/>
        <w:rPr>
          <w:rFonts w:hint="eastAsia" w:ascii="仿宋" w:hAnsi="仿宋" w:eastAsia="仿宋" w:cs="仿宋"/>
          <w:color w:val="auto"/>
          <w:sz w:val="24"/>
          <w:szCs w:val="24"/>
          <w:highlight w:val="yellow"/>
          <w:u w:val="single"/>
          <w:lang w:val="en-US" w:eastAsia="zh-CN"/>
        </w:rPr>
      </w:pPr>
      <w:r>
        <w:rPr>
          <w:rFonts w:hint="eastAsia" w:ascii="仿宋" w:hAnsi="仿宋" w:eastAsia="仿宋" w:cs="仿宋"/>
          <w:color w:val="auto"/>
          <w:sz w:val="24"/>
          <w:szCs w:val="24"/>
        </w:rPr>
        <w:t>本项目采购标的对应的中小企业划分标准所属行业：</w:t>
      </w:r>
      <w:r>
        <w:rPr>
          <w:rFonts w:hint="eastAsia" w:ascii="仿宋" w:hAnsi="仿宋" w:eastAsia="仿宋" w:cs="仿宋"/>
          <w:color w:val="auto"/>
          <w:sz w:val="24"/>
          <w:szCs w:val="24"/>
          <w:highlight w:val="none"/>
          <w:u w:val="single"/>
          <w:lang w:val="en-US" w:eastAsia="zh-CN"/>
        </w:rPr>
        <w:t xml:space="preserve"> 其他未列明服务 </w:t>
      </w:r>
    </w:p>
    <w:p>
      <w:pPr>
        <w:snapToGrid w:val="0"/>
        <w:spacing w:before="120" w:after="120" w:line="0" w:lineRule="atLeas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本项目不接受进口产品。</w:t>
      </w:r>
    </w:p>
    <w:p>
      <w:pPr>
        <w:snapToGrid w:val="0"/>
        <w:spacing w:before="120" w:after="120" w:line="0" w:lineRule="atLeast"/>
        <w:rPr>
          <w:rFonts w:hint="eastAsia" w:ascii="仿宋" w:hAnsi="仿宋" w:eastAsia="仿宋" w:cs="仿宋"/>
          <w:color w:val="auto"/>
          <w:sz w:val="24"/>
          <w:szCs w:val="24"/>
          <w:lang w:val="en-US" w:eastAsia="zh-CN"/>
        </w:rPr>
      </w:pPr>
    </w:p>
    <w:p>
      <w:pPr>
        <w:pStyle w:val="5"/>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一、项目概况</w:t>
      </w:r>
    </w:p>
    <w:p>
      <w:pPr>
        <w:pStyle w:val="13"/>
        <w:tabs>
          <w:tab w:val="left" w:pos="753"/>
        </w:tabs>
        <w:bidi w:val="0"/>
        <w:spacing w:line="360" w:lineRule="auto"/>
        <w:ind w:firstLine="480" w:firstLineChars="200"/>
        <w:rPr>
          <w:rStyle w:val="11"/>
          <w:rFonts w:hint="eastAsia" w:ascii="仿宋" w:hAnsi="仿宋" w:eastAsia="仿宋" w:cs="仿宋"/>
          <w:sz w:val="24"/>
          <w:szCs w:val="24"/>
          <w:lang w:val="en-US" w:eastAsia="zh-CN"/>
        </w:rPr>
      </w:pPr>
      <w:r>
        <w:rPr>
          <w:rStyle w:val="11"/>
          <w:rFonts w:hint="eastAsia" w:ascii="仿宋" w:hAnsi="仿宋" w:eastAsia="仿宋" w:cs="仿宋"/>
          <w:sz w:val="24"/>
          <w:szCs w:val="24"/>
          <w:lang w:val="en-US" w:eastAsia="zh-CN"/>
        </w:rPr>
        <w:t>1、项目名称：泗洪县第一人民医院信息化建设提升项目（分包三）。</w:t>
      </w:r>
    </w:p>
    <w:p>
      <w:pPr>
        <w:pStyle w:val="13"/>
        <w:tabs>
          <w:tab w:val="left" w:pos="753"/>
        </w:tabs>
        <w:bidi w:val="0"/>
        <w:spacing w:line="360" w:lineRule="auto"/>
        <w:ind w:firstLine="480" w:firstLineChars="200"/>
        <w:rPr>
          <w:rStyle w:val="11"/>
          <w:rFonts w:hint="default" w:ascii="仿宋" w:hAnsi="仿宋" w:eastAsia="仿宋" w:cs="仿宋"/>
          <w:sz w:val="24"/>
          <w:szCs w:val="24"/>
          <w:lang w:val="en-US" w:eastAsia="zh-CN"/>
        </w:rPr>
      </w:pPr>
      <w:r>
        <w:rPr>
          <w:rStyle w:val="11"/>
          <w:rFonts w:hint="eastAsia" w:ascii="仿宋" w:hAnsi="仿宋" w:eastAsia="仿宋" w:cs="仿宋"/>
          <w:sz w:val="24"/>
          <w:szCs w:val="24"/>
          <w:lang w:val="en-US" w:eastAsia="zh-CN"/>
        </w:rPr>
        <w:t>2、主要内容为：根据江苏省卫健委发文建设区域医疗中心文件，按照电子病历应用系统五级、互联互通成熟度四乙标准提升现有信息化中缺失的软硬件。预算金额136万元。</w:t>
      </w:r>
    </w:p>
    <w:p>
      <w:pPr>
        <w:pStyle w:val="13"/>
        <w:tabs>
          <w:tab w:val="left" w:pos="753"/>
        </w:tabs>
        <w:bidi w:val="0"/>
        <w:spacing w:line="360" w:lineRule="auto"/>
        <w:ind w:firstLine="480" w:firstLineChars="200"/>
        <w:rPr>
          <w:rStyle w:val="11"/>
          <w:rFonts w:hint="eastAsia" w:ascii="仿宋" w:hAnsi="仿宋" w:eastAsia="仿宋" w:cs="仿宋"/>
          <w:sz w:val="24"/>
          <w:szCs w:val="24"/>
          <w:lang w:val="en-US" w:eastAsia="zh-CN"/>
        </w:rPr>
      </w:pPr>
      <w:r>
        <w:rPr>
          <w:rStyle w:val="11"/>
          <w:rFonts w:hint="eastAsia" w:ascii="仿宋" w:hAnsi="仿宋" w:eastAsia="仿宋" w:cs="仿宋"/>
          <w:sz w:val="24"/>
          <w:szCs w:val="24"/>
          <w:lang w:val="en-US" w:eastAsia="zh-CN"/>
        </w:rPr>
        <w:t>3、服务地点：泗洪县第一人民医院。</w:t>
      </w:r>
    </w:p>
    <w:p>
      <w:pPr>
        <w:pStyle w:val="13"/>
        <w:tabs>
          <w:tab w:val="left" w:pos="753"/>
        </w:tabs>
        <w:bidi w:val="0"/>
        <w:spacing w:line="360" w:lineRule="auto"/>
        <w:ind w:firstLine="480" w:firstLineChars="200"/>
        <w:rPr>
          <w:rStyle w:val="11"/>
          <w:rFonts w:hint="eastAsia" w:ascii="仿宋" w:hAnsi="仿宋" w:eastAsia="仿宋" w:cs="仿宋"/>
          <w:sz w:val="24"/>
          <w:szCs w:val="24"/>
          <w:lang w:val="en-US" w:eastAsia="zh-CN"/>
        </w:rPr>
      </w:pPr>
      <w:r>
        <w:rPr>
          <w:rStyle w:val="11"/>
          <w:rFonts w:hint="eastAsia" w:ascii="仿宋" w:hAnsi="仿宋" w:eastAsia="仿宋" w:cs="仿宋"/>
          <w:sz w:val="24"/>
          <w:szCs w:val="24"/>
          <w:lang w:val="en-US" w:eastAsia="zh-CN"/>
        </w:rPr>
        <w:t>4、服务期：采购合同签订后40个工作日内全部提升完毕并交付使用。</w:t>
      </w:r>
    </w:p>
    <w:p>
      <w:pPr>
        <w:pStyle w:val="13"/>
        <w:tabs>
          <w:tab w:val="left" w:pos="753"/>
        </w:tabs>
        <w:bidi w:val="0"/>
        <w:spacing w:line="360" w:lineRule="auto"/>
        <w:ind w:firstLine="480" w:firstLineChars="200"/>
        <w:rPr>
          <w:rStyle w:val="11"/>
          <w:rFonts w:hint="default" w:ascii="仿宋" w:hAnsi="仿宋" w:eastAsia="仿宋" w:cs="仿宋"/>
          <w:sz w:val="24"/>
          <w:szCs w:val="24"/>
          <w:lang w:val="en-US" w:eastAsia="zh-CN"/>
        </w:rPr>
      </w:pPr>
      <w:r>
        <w:rPr>
          <w:rStyle w:val="11"/>
          <w:rFonts w:hint="eastAsia" w:ascii="仿宋" w:hAnsi="仿宋" w:eastAsia="仿宋" w:cs="仿宋"/>
          <w:sz w:val="24"/>
          <w:szCs w:val="24"/>
          <w:lang w:val="en-US" w:eastAsia="zh-CN"/>
        </w:rPr>
        <w:t>5、运行维护期：1年。</w:t>
      </w:r>
    </w:p>
    <w:p>
      <w:pPr>
        <w:pStyle w:val="5"/>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11"/>
          <w:rFonts w:hint="eastAsia" w:ascii="仿宋" w:hAnsi="仿宋" w:eastAsia="仿宋" w:cs="仿宋"/>
          <w:kern w:val="0"/>
          <w:sz w:val="24"/>
          <w:szCs w:val="24"/>
          <w:lang w:val="en-US" w:eastAsia="zh-CN" w:bidi="ar-SA"/>
        </w:rPr>
      </w:pPr>
      <w:r>
        <w:rPr>
          <w:rStyle w:val="11"/>
          <w:rFonts w:hint="eastAsia" w:ascii="仿宋" w:hAnsi="仿宋" w:eastAsia="仿宋" w:cs="仿宋"/>
          <w:kern w:val="0"/>
          <w:sz w:val="24"/>
          <w:szCs w:val="24"/>
          <w:lang w:val="en-US" w:eastAsia="zh-CN" w:bidi="ar-SA"/>
        </w:rPr>
        <w:t>采购合同签订后，收到供应商发票10个工作日内预付合同价款的30%；软件上线且运行报备后，初验合格且收到供应商发票后10个工作日内支付至合同价款的90%；</w:t>
      </w:r>
      <w:r>
        <w:rPr>
          <w:rFonts w:hint="eastAsia" w:ascii="仿宋" w:hAnsi="仿宋" w:eastAsia="仿宋"/>
          <w:color w:val="000000"/>
          <w:sz w:val="24"/>
          <w:szCs w:val="24"/>
        </w:rPr>
        <w:t>运行维护期结束，</w:t>
      </w:r>
      <w:r>
        <w:rPr>
          <w:rStyle w:val="11"/>
          <w:rFonts w:hint="eastAsia" w:ascii="仿宋" w:hAnsi="仿宋" w:eastAsia="仿宋" w:cs="仿宋"/>
          <w:kern w:val="0"/>
          <w:sz w:val="24"/>
          <w:szCs w:val="24"/>
          <w:lang w:val="en-US" w:eastAsia="zh-CN" w:bidi="ar-SA"/>
        </w:rPr>
        <w:t>供应商提供项目完整技术文档，采购人3个工作日内组织终验并出具终验报告，在收到供应商发票后10个工作日内支付至合同总额的100%。</w:t>
      </w:r>
    </w:p>
    <w:p>
      <w:pPr>
        <w:pStyle w:val="14"/>
        <w:widowControl/>
        <w:spacing w:line="360" w:lineRule="auto"/>
        <w:ind w:firstLine="480"/>
        <w:jc w:val="left"/>
        <w:rPr>
          <w:rFonts w:ascii="仿宋" w:hAnsi="仿宋" w:eastAsia="仿宋"/>
          <w:color w:val="000000"/>
          <w:sz w:val="24"/>
          <w:szCs w:val="24"/>
        </w:rPr>
      </w:pPr>
      <w:r>
        <w:rPr>
          <w:rFonts w:hint="eastAsia" w:ascii="仿宋" w:hAnsi="仿宋" w:eastAsia="仿宋"/>
          <w:color w:val="000000"/>
          <w:sz w:val="24"/>
          <w:szCs w:val="24"/>
        </w:rPr>
        <w:t>可以使用数字人民币支付。</w:t>
      </w:r>
    </w:p>
    <w:p>
      <w:pPr>
        <w:pStyle w:val="17"/>
        <w:spacing w:line="360" w:lineRule="auto"/>
        <w:ind w:firstLine="480"/>
        <w:rPr>
          <w:rFonts w:ascii="仿宋" w:hAnsi="仿宋" w:eastAsia="仿宋"/>
        </w:rPr>
      </w:pPr>
      <w:r>
        <w:rPr>
          <w:rFonts w:hint="eastAsia" w:ascii="仿宋" w:hAnsi="仿宋" w:eastAsia="仿宋"/>
        </w:rPr>
        <w:t>注：在签订合同时，供应商明确表示无需预付款或者主动要求降低预付款比例的，采购人可不适用预付规定。</w:t>
      </w:r>
    </w:p>
    <w:p>
      <w:pPr>
        <w:pStyle w:val="5"/>
        <w:numPr>
          <w:ilvl w:val="0"/>
          <w:numId w:val="1"/>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采购清单</w:t>
      </w:r>
    </w:p>
    <w:tbl>
      <w:tblPr>
        <w:tblStyle w:val="10"/>
        <w:tblW w:w="827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41"/>
        <w:gridCol w:w="737"/>
        <w:gridCol w:w="5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77"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1541"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服务内容</w:t>
            </w:r>
          </w:p>
        </w:tc>
        <w:tc>
          <w:tcPr>
            <w:tcW w:w="737" w:type="dxa"/>
            <w:vAlign w:val="center"/>
          </w:tcPr>
          <w:p>
            <w:pPr>
              <w:keepNext w:val="0"/>
              <w:keepLines w:val="0"/>
              <w:suppressLineNumbers w:val="0"/>
              <w:spacing w:before="0" w:beforeAutospacing="0" w:after="0" w:afterAutospacing="0" w:line="240" w:lineRule="auto"/>
              <w:ind w:left="0" w:right="0"/>
              <w:contextualSpacing/>
              <w:jc w:val="center"/>
              <w:rPr>
                <w:rFonts w:hint="eastAsia" w:ascii="仿宋" w:hAnsi="仿宋" w:eastAsia="仿宋" w:cs="仿宋"/>
                <w:b/>
                <w:bCs/>
                <w:sz w:val="21"/>
                <w:szCs w:val="21"/>
              </w:rPr>
            </w:pPr>
            <w:r>
              <w:rPr>
                <w:rFonts w:hint="eastAsia" w:ascii="仿宋" w:hAnsi="仿宋" w:eastAsia="仿宋" w:cs="仿宋"/>
                <w:b/>
                <w:bCs/>
                <w:sz w:val="21"/>
                <w:szCs w:val="21"/>
              </w:rPr>
              <w:t>数量</w:t>
            </w:r>
          </w:p>
        </w:tc>
        <w:tc>
          <w:tcPr>
            <w:tcW w:w="5222" w:type="dxa"/>
            <w:vAlign w:val="center"/>
          </w:tcPr>
          <w:p>
            <w:pPr>
              <w:keepNext w:val="0"/>
              <w:keepLines w:val="0"/>
              <w:suppressLineNumbers w:val="0"/>
              <w:spacing w:before="0" w:beforeAutospacing="0" w:after="0" w:afterAutospacing="0" w:line="240" w:lineRule="auto"/>
              <w:ind w:left="0" w:right="0"/>
              <w:contextualSpacing/>
              <w:jc w:val="center"/>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5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CDSS 临床决策辅助系统</w:t>
            </w:r>
          </w:p>
        </w:tc>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1套</w:t>
            </w:r>
          </w:p>
        </w:tc>
        <w:tc>
          <w:tcPr>
            <w:tcW w:w="522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contextualSpacing/>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提供包含智能全科知识库、知识库临床应用集成、临床辅助决策支持。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15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电子签名服务</w:t>
            </w:r>
          </w:p>
        </w:tc>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1项</w:t>
            </w:r>
          </w:p>
        </w:tc>
        <w:tc>
          <w:tcPr>
            <w:tcW w:w="522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contextualSpacing/>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提供包含协同签名服务、数字证书服务及时间戳服务在内的面向医院业务系统的电子签名服务。</w:t>
            </w:r>
          </w:p>
        </w:tc>
      </w:tr>
    </w:tbl>
    <w:p>
      <w:pPr>
        <w:pStyle w:val="5"/>
        <w:numPr>
          <w:ilvl w:val="0"/>
          <w:numId w:val="0"/>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四、功能要求</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rPr>
        <w:t>（一）临床辅助决策支持系统</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功能模块</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3716"/>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kern w:val="0"/>
                <w:sz w:val="21"/>
                <w:szCs w:val="21"/>
                <w:lang w:bidi="ar"/>
                <w14:ligatures w14:val="none"/>
              </w:rPr>
              <w:t>序号</w:t>
            </w: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sz w:val="21"/>
                <w:szCs w:val="21"/>
                <w14:ligatures w14:val="none"/>
              </w:rPr>
              <w:t>模块</w:t>
            </w: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b/>
                <w:bCs/>
                <w:sz w:val="21"/>
                <w:szCs w:val="21"/>
                <w14:ligatures w14:val="none"/>
              </w:rPr>
            </w:pPr>
            <w:r>
              <w:rPr>
                <w:rFonts w:hint="eastAsia" w:ascii="仿宋" w:hAnsi="仿宋" w:eastAsia="仿宋" w:cs="仿宋"/>
                <w:b/>
                <w:bCs/>
                <w:sz w:val="21"/>
                <w:szCs w:val="21"/>
                <w14:ligatures w14:val="none"/>
              </w:rPr>
              <w:t>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w:t>
            </w:r>
          </w:p>
        </w:tc>
        <w:tc>
          <w:tcPr>
            <w:tcW w:w="2180"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临床基础西医知识库</w:t>
            </w: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知识库智能检索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2</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疾病知识库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3</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药品知识库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4</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检验知识库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5</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检查知识库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6</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护理知识库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7</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政策法规知识库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8</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诊疗规范知识库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9</w:t>
            </w:r>
          </w:p>
        </w:tc>
        <w:tc>
          <w:tcPr>
            <w:tcW w:w="2180"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临床知识库管理</w:t>
            </w: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知识内容维护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10</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知识专题管理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11</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知识文档上传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12</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知识目录对照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13</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术语归一服务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14</w:t>
            </w:r>
          </w:p>
        </w:tc>
        <w:tc>
          <w:tcPr>
            <w:tcW w:w="2180" w:type="pct"/>
            <w:vMerge w:val="restar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知识库临床应用集成</w:t>
            </w: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临床知识库调阅对接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15</w:t>
            </w:r>
          </w:p>
        </w:tc>
        <w:tc>
          <w:tcPr>
            <w:tcW w:w="2180" w:type="pct"/>
            <w:vMerge w:val="continue"/>
            <w:shd w:val="clear" w:color="auto" w:fill="auto"/>
            <w:vAlign w:val="center"/>
          </w:tcPr>
          <w:p>
            <w:pPr>
              <w:keepNext w:val="0"/>
              <w:keepLines w:val="0"/>
              <w:suppressLineNumbers w:val="0"/>
              <w:adjustRightInd w:val="0"/>
              <w:spacing w:before="0" w:beforeAutospacing="0" w:after="0" w:afterAutospacing="0" w:line="360" w:lineRule="auto"/>
              <w:ind w:left="0" w:right="0"/>
              <w:contextualSpacing/>
              <w:jc w:val="center"/>
              <w:rPr>
                <w:rFonts w:hint="eastAsia" w:ascii="仿宋" w:hAnsi="仿宋" w:eastAsia="仿宋" w:cs="仿宋"/>
                <w:sz w:val="21"/>
                <w:szCs w:val="21"/>
                <w14:ligatures w14:val="none"/>
              </w:rPr>
            </w:pPr>
          </w:p>
        </w:tc>
        <w:tc>
          <w:tcPr>
            <w:tcW w:w="2180" w:type="pct"/>
            <w:shd w:val="clear" w:color="auto" w:fill="auto"/>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临床知识库动态查询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16</w:t>
            </w:r>
          </w:p>
        </w:tc>
        <w:tc>
          <w:tcPr>
            <w:tcW w:w="2180"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jc w:val="center"/>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划词查询</w:t>
            </w:r>
          </w:p>
        </w:tc>
        <w:tc>
          <w:tcPr>
            <w:tcW w:w="2180" w:type="pct"/>
            <w:shd w:val="clear" w:color="auto" w:fill="auto"/>
            <w:noWrap/>
            <w:vAlign w:val="center"/>
          </w:tcPr>
          <w:p>
            <w:pPr>
              <w:keepNext w:val="0"/>
              <w:keepLines w:val="0"/>
              <w:widowControl/>
              <w:suppressLineNumbers w:val="0"/>
              <w:adjustRightInd w:val="0"/>
              <w:spacing w:before="0" w:beforeAutospacing="0" w:after="0" w:afterAutospacing="0" w:line="360" w:lineRule="auto"/>
              <w:ind w:left="0" w:right="0"/>
              <w:contextualSpacing/>
              <w:textAlignment w:val="center"/>
              <w:rPr>
                <w:rFonts w:hint="eastAsia" w:ascii="仿宋" w:hAnsi="仿宋" w:eastAsia="仿宋" w:cs="仿宋"/>
                <w:sz w:val="21"/>
                <w:szCs w:val="21"/>
                <w14:ligatures w14:val="none"/>
              </w:rPr>
            </w:pPr>
            <w:r>
              <w:rPr>
                <w:rFonts w:hint="eastAsia" w:ascii="仿宋" w:hAnsi="仿宋" w:eastAsia="仿宋" w:cs="仿宋"/>
                <w:kern w:val="0"/>
                <w:sz w:val="21"/>
                <w:szCs w:val="21"/>
                <w:lang w:bidi="ar"/>
                <w14:ligatures w14:val="none"/>
              </w:rPr>
              <w:t>划词查询</w:t>
            </w:r>
          </w:p>
        </w:tc>
      </w:tr>
    </w:tbl>
    <w:p>
      <w:pPr>
        <w:spacing w:after="0" w:line="360" w:lineRule="auto"/>
        <w:contextualSpacing/>
        <w:outlineLvl w:val="2"/>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2、系统功能要求</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2.1总体技术要求</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系统在院内部署，所有数据均存储在院内；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▲支持基于kubernetes和docker容器编排的部署方案，展示容器的运行状态；（提供软件功能截图）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▲具备完善应用部署能力，提供应用部署管理平台的界面和部署方案；（提供软件功能截图）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支持与医院信息系统数据的实时同步，需提供技术方案；</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支持集成多种数据库，如DB2、PostgreSQL、MySQL、ORACLE和SQL Server；</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产品稳定性要求：系统支持7*24小时不间断运行。</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支持对接不同架构的业务系统。</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2.2临床基础西医知识库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2.2.1.</w:t>
      </w:r>
      <w:r>
        <w:rPr>
          <w:rFonts w:hint="eastAsia" w:ascii="仿宋" w:hAnsi="仿宋" w:eastAsia="仿宋" w:cs="仿宋"/>
          <w:sz w:val="24"/>
          <w:szCs w:val="24"/>
        </w:rPr>
        <w:tab/>
      </w:r>
      <w:r>
        <w:rPr>
          <w:rFonts w:hint="eastAsia" w:ascii="仿宋" w:hAnsi="仿宋" w:eastAsia="仿宋" w:cs="仿宋"/>
          <w:sz w:val="24"/>
          <w:szCs w:val="24"/>
        </w:rPr>
        <w:t>知识库智能检索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▲具备基于标准化医学术语的专业检索引擎，支持精准快速全局搜索临床知识，支持分类检索。（提供软件功能截图）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支持按照名称、关键字、拼音首字母检索知识库内容，涉及疾病知识、药品知识、检验知识、检查知识、护理知识、政策法规、诊疗规范等内容。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支持通过与门诊处方系统、住院医嘱系统、护士工作站系统等对接，实现在医师、护士信息系统中内嵌知识库检索按钮的功能。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2.2.2.</w:t>
      </w:r>
      <w:r>
        <w:rPr>
          <w:rFonts w:hint="eastAsia" w:ascii="仿宋" w:hAnsi="仿宋" w:eastAsia="仿宋" w:cs="仿宋"/>
          <w:sz w:val="24"/>
          <w:szCs w:val="24"/>
        </w:rPr>
        <w:tab/>
      </w:r>
      <w:r>
        <w:rPr>
          <w:rFonts w:hint="eastAsia" w:ascii="仿宋" w:hAnsi="仿宋" w:eastAsia="仿宋" w:cs="仿宋"/>
          <w:sz w:val="24"/>
          <w:szCs w:val="24"/>
        </w:rPr>
        <w:t>疾病知识库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提供疾病知识库不少于4000条，一般应包含疾病定义、临床表现、诊断标准、推荐检验检查、鉴别诊断、治疗原则等。</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支持按照疾病名称、关键字、拼音首字母进行检索。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支持关联相关的临床指南和专家共识附件。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支持新增、修改、发布、停用疾病知识库的自定义知识条目。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支持通过与门诊医生站系统、住院医生站系统对接，实现在下达诊断时关联对应疾病知识并可快速查询的功能。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2.2.3.</w:t>
      </w:r>
      <w:r>
        <w:rPr>
          <w:rFonts w:hint="eastAsia" w:ascii="仿宋" w:hAnsi="仿宋" w:eastAsia="仿宋" w:cs="仿宋"/>
          <w:sz w:val="24"/>
          <w:szCs w:val="24"/>
        </w:rPr>
        <w:tab/>
      </w:r>
      <w:r>
        <w:rPr>
          <w:rFonts w:hint="eastAsia" w:ascii="仿宋" w:hAnsi="仿宋" w:eastAsia="仿宋" w:cs="仿宋"/>
          <w:sz w:val="24"/>
          <w:szCs w:val="24"/>
        </w:rPr>
        <w:t>药品知识库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提供药品知识不少于30000条，一般应包含药品成分、适应症、用法用量、不良反应、用药禁忌、注意事项、药物相互作用。</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支持按照药品名称、关键字、拼音首字母进行检索。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支持新增、修改、发布、停用药品知识库的自定义知识条目。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支持通过与门诊处方系统、住院医嘱系统对接，实现下达处方或医嘱时关联查看对应药品说明书的功能。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2.2.4.</w:t>
      </w:r>
      <w:r>
        <w:rPr>
          <w:rFonts w:hint="eastAsia" w:ascii="仿宋" w:hAnsi="仿宋" w:eastAsia="仿宋" w:cs="仿宋"/>
          <w:sz w:val="24"/>
          <w:szCs w:val="24"/>
        </w:rPr>
        <w:tab/>
      </w:r>
      <w:r>
        <w:rPr>
          <w:rFonts w:hint="eastAsia" w:ascii="仿宋" w:hAnsi="仿宋" w:eastAsia="仿宋" w:cs="仿宋"/>
          <w:sz w:val="24"/>
          <w:szCs w:val="24"/>
        </w:rPr>
        <w:t>检验知识库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提供检验知识库不少于1000条，一般应包含标本类型、参考范围、异常值意义、相关疾病、检测方法或采样注意事项。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支持按照检验项目名称、关键字、拼音首字母进行检索。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支持新增、修改、发布、停用检验知识库的自定义知识条目。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支持通过与门诊处方系统、住院医嘱系统对接，实现开具检验申请单或者查看检验报告结果时关联查看对应的检验项目说明的功能。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2.2.5.</w:t>
      </w:r>
      <w:r>
        <w:rPr>
          <w:rFonts w:hint="eastAsia" w:ascii="仿宋" w:hAnsi="仿宋" w:eastAsia="仿宋" w:cs="仿宋"/>
          <w:sz w:val="24"/>
          <w:szCs w:val="24"/>
        </w:rPr>
        <w:tab/>
      </w:r>
      <w:r>
        <w:rPr>
          <w:rFonts w:hint="eastAsia" w:ascii="仿宋" w:hAnsi="仿宋" w:eastAsia="仿宋" w:cs="仿宋"/>
          <w:sz w:val="24"/>
          <w:szCs w:val="24"/>
        </w:rPr>
        <w:t>检查知识库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提供检查知识库不少于500条，一般应包含检查前患者准备事项、检查参考范围、异常值意义、相关疾病。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支持按照检查项目名称、关键字、拼音首字母进行检索。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支持新增、修改、发布、停用检查知识库的自定义知识条目。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支持通过与门诊处方系统、住院医嘱系统对接，实现开具检查申请单时关联查看对应的检查项目说明的功能。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2.2.6.</w:t>
      </w:r>
      <w:r>
        <w:rPr>
          <w:rFonts w:hint="eastAsia" w:ascii="仿宋" w:hAnsi="仿宋" w:eastAsia="仿宋" w:cs="仿宋"/>
          <w:sz w:val="24"/>
          <w:szCs w:val="24"/>
        </w:rPr>
        <w:tab/>
      </w:r>
      <w:r>
        <w:rPr>
          <w:rFonts w:hint="eastAsia" w:ascii="仿宋" w:hAnsi="仿宋" w:eastAsia="仿宋" w:cs="仿宋"/>
          <w:sz w:val="24"/>
          <w:szCs w:val="24"/>
        </w:rPr>
        <w:t>护理知识库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提供常见护理操作知识不少于100条，一般应包含护理操作定义、常见原因、护理措施。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支持按照护理操作名称、关键字、拼音首字母进行检索。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支持新增、修改、发布、停用护理知识库的自定义知识条目。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2.2.7.</w:t>
      </w:r>
      <w:r>
        <w:rPr>
          <w:rFonts w:hint="eastAsia" w:ascii="仿宋" w:hAnsi="仿宋" w:eastAsia="仿宋" w:cs="仿宋"/>
          <w:sz w:val="24"/>
          <w:szCs w:val="24"/>
        </w:rPr>
        <w:tab/>
      </w:r>
      <w:r>
        <w:rPr>
          <w:rFonts w:hint="eastAsia" w:ascii="仿宋" w:hAnsi="仿宋" w:eastAsia="仿宋" w:cs="仿宋"/>
          <w:sz w:val="24"/>
          <w:szCs w:val="24"/>
        </w:rPr>
        <w:t>政策法规知识库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提供常用的医疗相关政策法规不少于50条。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支持按照政策法规名称、关键字、拼音首字母进行检索。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支持关联相关的政策、法规附件。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支持新增、修改、发布、停用自定义政策法规条目。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2.2.8.</w:t>
      </w:r>
      <w:r>
        <w:rPr>
          <w:rFonts w:hint="eastAsia" w:ascii="仿宋" w:hAnsi="仿宋" w:eastAsia="仿宋" w:cs="仿宋"/>
          <w:sz w:val="24"/>
          <w:szCs w:val="24"/>
        </w:rPr>
        <w:tab/>
      </w:r>
      <w:r>
        <w:rPr>
          <w:rFonts w:hint="eastAsia" w:ascii="仿宋" w:hAnsi="仿宋" w:eastAsia="仿宋" w:cs="仿宋"/>
          <w:sz w:val="24"/>
          <w:szCs w:val="24"/>
        </w:rPr>
        <w:t>诊疗规范知识库</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提供常见疾病的诊疗规范知识不少于100条。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支持按照诊疗指南、专家共识名称、关键字、拼音首字母进行检索。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支持关联相关的诊疗规范附件。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支持新增、修改、发布、停用自定义的诊疗规范条目。</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2.3临床知识库管理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2.3.1.</w:t>
      </w:r>
      <w:r>
        <w:rPr>
          <w:rFonts w:hint="eastAsia" w:ascii="仿宋" w:hAnsi="仿宋" w:eastAsia="仿宋" w:cs="仿宋"/>
          <w:sz w:val="24"/>
          <w:szCs w:val="24"/>
        </w:rPr>
        <w:tab/>
      </w:r>
      <w:r>
        <w:rPr>
          <w:rFonts w:hint="eastAsia" w:ascii="仿宋" w:hAnsi="仿宋" w:eastAsia="仿宋" w:cs="仿宋"/>
          <w:sz w:val="24"/>
          <w:szCs w:val="24"/>
        </w:rPr>
        <w:t>知识内容维护</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▲支持用户自行维护知识库内容，可编辑疾病知识、药品知识、检查知识、检验知识、护理知识、政策规范、诊疗规范等。（提供软件功能截图）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知识条目可进行结构化维护，支持设置知识段落。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支持知识条目内容选择字体、字号、字体颜色。</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支持设置粗体、斜体，支持添加下划线、删除线，支持添加底色。</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支持知识条目内容插入自动编号、项目符号。</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支持添加超链接。</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支持添加附件。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rPr>
        <w:tab/>
      </w:r>
      <w:r>
        <w:rPr>
          <w:rFonts w:hint="eastAsia" w:ascii="仿宋" w:hAnsi="仿宋" w:eastAsia="仿宋" w:cs="仿宋"/>
          <w:sz w:val="24"/>
          <w:szCs w:val="24"/>
        </w:rPr>
        <w:t>支持知识内容保存和发布。</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2.3.2.</w:t>
      </w:r>
      <w:r>
        <w:rPr>
          <w:rFonts w:hint="eastAsia" w:ascii="仿宋" w:hAnsi="仿宋" w:eastAsia="仿宋" w:cs="仿宋"/>
          <w:sz w:val="24"/>
          <w:szCs w:val="24"/>
        </w:rPr>
        <w:tab/>
      </w:r>
      <w:r>
        <w:rPr>
          <w:rFonts w:hint="eastAsia" w:ascii="仿宋" w:hAnsi="仿宋" w:eastAsia="仿宋" w:cs="仿宋"/>
          <w:sz w:val="24"/>
          <w:szCs w:val="24"/>
        </w:rPr>
        <w:t>知识专题管理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支持以专题形式展示知识条目。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支持用户自定义知识专题，可在专题中加入相关的知识条目。</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支持快速查看专题知识。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2.3.3.</w:t>
      </w:r>
      <w:r>
        <w:rPr>
          <w:rFonts w:hint="eastAsia" w:ascii="仿宋" w:hAnsi="仿宋" w:eastAsia="仿宋" w:cs="仿宋"/>
          <w:sz w:val="24"/>
          <w:szCs w:val="24"/>
        </w:rPr>
        <w:tab/>
      </w:r>
      <w:r>
        <w:rPr>
          <w:rFonts w:hint="eastAsia" w:ascii="仿宋" w:hAnsi="仿宋" w:eastAsia="仿宋" w:cs="仿宋"/>
          <w:sz w:val="24"/>
          <w:szCs w:val="24"/>
        </w:rPr>
        <w:t>知识文档上传</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支持上传文档类附件作为临床知识库内容。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支持直接浏览PDF格式的附件。</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支持知识文档下载。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支持知识文档停用或删除。</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支持在编辑知识内容时创建超链接，浏览知识时可点击链接查看相关内容。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2.3.4.</w:t>
      </w:r>
      <w:r>
        <w:rPr>
          <w:rFonts w:hint="eastAsia" w:ascii="仿宋" w:hAnsi="仿宋" w:eastAsia="仿宋" w:cs="仿宋"/>
          <w:sz w:val="24"/>
          <w:szCs w:val="24"/>
        </w:rPr>
        <w:tab/>
      </w:r>
      <w:r>
        <w:rPr>
          <w:rFonts w:hint="eastAsia" w:ascii="仿宋" w:hAnsi="仿宋" w:eastAsia="仿宋" w:cs="仿宋"/>
          <w:sz w:val="24"/>
          <w:szCs w:val="24"/>
        </w:rPr>
        <w:t>知识目录对照</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支持维护业务系统字典与知识条目字典的对照关系，以保障院内建设统一知识体系，不同科室、不同系统调用的相同知识逻辑的结果相同。</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2.3.5.</w:t>
      </w:r>
      <w:r>
        <w:rPr>
          <w:rFonts w:hint="eastAsia" w:ascii="仿宋" w:hAnsi="仿宋" w:eastAsia="仿宋" w:cs="仿宋"/>
          <w:sz w:val="24"/>
          <w:szCs w:val="24"/>
        </w:rPr>
        <w:tab/>
      </w:r>
      <w:r>
        <w:rPr>
          <w:rFonts w:hint="eastAsia" w:ascii="仿宋" w:hAnsi="仿宋" w:eastAsia="仿宋" w:cs="仿宋"/>
          <w:sz w:val="24"/>
          <w:szCs w:val="24"/>
        </w:rPr>
        <w:t>术语归一服务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▲支持智能识别院内疾病、药品名称、检验项目的不同表述，包括俗名、简称、缩写。（提供软件功能截图）</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支持多种表述方式的诊断、药品、检验医学术语自动归一，并与知识目录进行自动匹配。</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可提供专业医学人员人工核对匹配结果的服务。</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支持对无法自动匹配的术语进行人工匹配。</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2.4知识库临床应用集成</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2.4.1.</w:t>
      </w:r>
      <w:r>
        <w:rPr>
          <w:rFonts w:hint="eastAsia" w:ascii="仿宋" w:hAnsi="仿宋" w:eastAsia="仿宋" w:cs="仿宋"/>
          <w:sz w:val="24"/>
          <w:szCs w:val="24"/>
        </w:rPr>
        <w:tab/>
      </w:r>
      <w:r>
        <w:rPr>
          <w:rFonts w:hint="eastAsia" w:ascii="仿宋" w:hAnsi="仿宋" w:eastAsia="仿宋" w:cs="仿宋"/>
          <w:sz w:val="24"/>
          <w:szCs w:val="24"/>
        </w:rPr>
        <w:t>知识库调阅对接</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支持在门诊处方系统、住院医嘱系统、护士工作站系统中嵌入知识库调阅按钮，医生、护士可手动录入知识库条目名称、关键字、拼音首字母进行查询和调阅。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疾病知识库调阅对接。支持与门诊医生站系统、住院医生站系统对接，用户点击知识库按钮，业务系统将当前诊断传输给知识库，无需录入查询条件，即可查询当前诊断涉及的疾病知识库条目及知识库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药品知识库调阅对接。支持与门诊医生站系统、住院医生站系统对接，用户点击知识库按钮，业务系统将当前药品名称等相关信息传输给知识库，无需录入查询条件，即可查看当前药品涉及的药品知识库条目及药品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检验知识库调阅对接。支持与门诊医生站系统、住院医生站系统、护士工作站等系统对接，用户点击知识库按钮，业务系统将当前检验项目名称等相关信息传输给知识库，无需录入查询条件，即可查看当前检验项目涉及的检验知识库条目及检验项目明细内容，例如标本类型、检测时机、检测作用、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检查知识库调阅对接。支持与门诊医生站系统、住院医生站系统、护士工作站等系统对接，用户点击知识库按钮，业务系统将当前检查项目名称等相关信息传输给知识库，无需录入查询条件，即可查看当前检查项目涉及的知识库条目及检查项目明细内容，例如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护理知识库调阅对接。支持与门诊医生站系统、住院医生站系统、护士工作站等系统对接，用户点击知识库按钮，业务系统将当前护理操作项目名称等相关信息传输给知识库，无需录入查询条件，即可查看当前护理操作项目涉及的知识库条目及护理操作项目明细内容，例如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2.4.2.</w:t>
      </w:r>
      <w:r>
        <w:rPr>
          <w:rFonts w:hint="eastAsia" w:ascii="仿宋" w:hAnsi="仿宋" w:eastAsia="仿宋" w:cs="仿宋"/>
          <w:sz w:val="24"/>
          <w:szCs w:val="24"/>
        </w:rPr>
        <w:tab/>
      </w:r>
      <w:r>
        <w:rPr>
          <w:rFonts w:hint="eastAsia" w:ascii="仿宋" w:hAnsi="仿宋" w:eastAsia="仿宋" w:cs="仿宋"/>
          <w:sz w:val="24"/>
          <w:szCs w:val="24"/>
        </w:rPr>
        <w:t>临床知识库动态查询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支持与门诊处方系统、住院医嘱系统、护士工作站系统等进行对接，在医生、护士进行操作后，业务系统将患者当前的诊疗数据如诊断、医嘱、检查、检验等传输给知识库，知识库界面动态展示当前涉及的相关疾病知识、药品知识、检验知识、检查知识、护理知识条目名称。</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疾病知识库动态查询。通过业务系统传输当前患者涉及的诊断信息，知识库窗口可自动展示处于有效状态的诊断关联的疾病知识库条目，并可查看疾病知识明细，如疾病定义、临床表现、诊断标准、推荐检验检查、鉴别诊断、治疗原则。</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药品知识库动态查询。通过业务系统传输当前患者涉及的药品信息，知识库窗口可自动展示处于有效状态的药品关联的药品知识库条目，并可查看药品知识明细，如药品成分、适应症、用法用量、不良反应、用药禁忌、注意事项、药物相互作用。</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检验知识库动态查询。通过业务系统传输当前患者涉及的检验项目信息，知识库窗口可自动展示处于有效状态的检验项目关联的检验知识库条目，并可查看检验知识明细，例如标本类型、检测时机、检测作用、参考范围、异常值意义、相关疾病、检测方法、影响因素。</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rPr>
        <w:tab/>
      </w:r>
      <w:r>
        <w:rPr>
          <w:rFonts w:hint="eastAsia" w:ascii="仿宋" w:hAnsi="仿宋" w:eastAsia="仿宋" w:cs="仿宋"/>
          <w:sz w:val="24"/>
          <w:szCs w:val="24"/>
        </w:rPr>
        <w:t>支持检查知识库动态查询。通过业务系统传输当前患者涉及的检查项目信息，知识库窗口可自动展示处于有效状态的检查项目关联的知识库条目，并可查看检查知识明细，例如检查前患者准备事项、检查参考范围、异常值意义、相关疾病。</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rPr>
        <w:tab/>
      </w:r>
      <w:r>
        <w:rPr>
          <w:rFonts w:hint="eastAsia" w:ascii="仿宋" w:hAnsi="仿宋" w:eastAsia="仿宋" w:cs="仿宋"/>
          <w:sz w:val="24"/>
          <w:szCs w:val="24"/>
        </w:rPr>
        <w:t>支持护理知识库动态查询。通过业务系统传输当前患者涉及的护理操作项目信息，知识库窗口可自动展示处于有效状态的护理操作关联的知识库条目，并可查看护理知识明细，例如护理操作定义、常见原因、护理措施。</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rPr>
        <w:tab/>
      </w:r>
      <w:r>
        <w:rPr>
          <w:rFonts w:hint="eastAsia" w:ascii="仿宋" w:hAnsi="仿宋" w:eastAsia="仿宋" w:cs="仿宋"/>
          <w:sz w:val="24"/>
          <w:szCs w:val="24"/>
        </w:rPr>
        <w:t>支持通过条目名称查看对应知识条目的明细内容。</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rPr>
        <w:tab/>
      </w:r>
      <w:r>
        <w:rPr>
          <w:rFonts w:hint="eastAsia" w:ascii="仿宋" w:hAnsi="仿宋" w:eastAsia="仿宋" w:cs="仿宋"/>
          <w:sz w:val="24"/>
          <w:szCs w:val="24"/>
        </w:rPr>
        <w:t>支持手动录入知识条目名称、关键字、拼音首字母进行自由查询。</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2.5划词查询</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rPr>
        <w:tab/>
      </w:r>
      <w:r>
        <w:rPr>
          <w:rFonts w:hint="eastAsia" w:ascii="仿宋" w:hAnsi="仿宋" w:eastAsia="仿宋" w:cs="仿宋"/>
          <w:sz w:val="24"/>
          <w:szCs w:val="24"/>
        </w:rPr>
        <w:t>支持全屏幕文本划词查询，用户可通过光标划出所需查询的文本内容，点击知识库搜索按钮，可查看对应的知识查询结果列表，并可查阅知识条目明细内容，无需文字输入即可查询对应的临床知识。</w:t>
      </w:r>
    </w:p>
    <w:p>
      <w:pPr>
        <w:spacing w:after="0" w:line="360" w:lineRule="auto"/>
        <w:contextualSpacing/>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rPr>
        <w:tab/>
      </w:r>
      <w:r>
        <w:rPr>
          <w:rFonts w:hint="eastAsia" w:ascii="仿宋" w:hAnsi="仿宋" w:eastAsia="仿宋" w:cs="仿宋"/>
          <w:sz w:val="24"/>
          <w:szCs w:val="24"/>
        </w:rPr>
        <w:t>支持用户启用或关闭划词查询功能。</w:t>
      </w:r>
    </w:p>
    <w:p>
      <w:pPr>
        <w:spacing w:after="0" w:line="360" w:lineRule="auto"/>
        <w:contextualSpacing/>
        <w:rPr>
          <w:rFonts w:hint="eastAsia" w:ascii="仿宋" w:hAnsi="仿宋" w:eastAsia="仿宋" w:cs="仿宋"/>
          <w:b/>
          <w:bCs/>
          <w:sz w:val="24"/>
          <w:szCs w:val="24"/>
        </w:rPr>
      </w:pPr>
      <w:r>
        <w:rPr>
          <w:rFonts w:hint="eastAsia" w:ascii="仿宋" w:hAnsi="仿宋" w:eastAsia="仿宋" w:cs="仿宋"/>
          <w:sz w:val="24"/>
          <w:szCs w:val="24"/>
        </w:rPr>
        <w:t>(3)</w:t>
      </w:r>
      <w:r>
        <w:rPr>
          <w:rFonts w:hint="eastAsia" w:ascii="仿宋" w:hAnsi="仿宋" w:eastAsia="仿宋" w:cs="仿宋"/>
          <w:sz w:val="24"/>
          <w:szCs w:val="24"/>
        </w:rPr>
        <w:tab/>
      </w:r>
      <w:r>
        <w:rPr>
          <w:rFonts w:hint="eastAsia" w:ascii="仿宋" w:hAnsi="仿宋" w:eastAsia="仿宋" w:cs="仿宋"/>
          <w:sz w:val="24"/>
          <w:szCs w:val="24"/>
        </w:rPr>
        <w:t>支持设置划词查询小窗口的透明度。</w:t>
      </w:r>
    </w:p>
    <w:p>
      <w:pPr>
        <w:spacing w:after="0" w:line="360" w:lineRule="auto"/>
        <w:contextualSpacing/>
        <w:outlineLvl w:val="2"/>
        <w:rPr>
          <w:rFonts w:hint="eastAsia" w:ascii="仿宋" w:hAnsi="仿宋" w:eastAsia="仿宋" w:cs="仿宋"/>
          <w:b/>
          <w:bCs/>
          <w:sz w:val="24"/>
          <w:szCs w:val="24"/>
        </w:rPr>
      </w:pPr>
      <w:r>
        <w:rPr>
          <w:rFonts w:hint="eastAsia" w:ascii="仿宋" w:hAnsi="仿宋" w:eastAsia="仿宋" w:cs="仿宋"/>
          <w:b/>
          <w:bCs/>
          <w:sz w:val="24"/>
          <w:szCs w:val="24"/>
        </w:rPr>
        <w:t>（二）电子签名服务</w:t>
      </w:r>
    </w:p>
    <w:p>
      <w:pPr>
        <w:spacing w:after="0" w:line="360" w:lineRule="auto"/>
        <w:contextualSpacing/>
        <w:outlineLvl w:val="3"/>
        <w:rPr>
          <w:rFonts w:hint="eastAsia"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具体内容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1248"/>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11"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一级服务内容</w:t>
            </w:r>
          </w:p>
        </w:tc>
        <w:tc>
          <w:tcPr>
            <w:tcW w:w="732"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二级</w:t>
            </w: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b/>
                <w:bCs/>
                <w:color w:val="000000"/>
                <w:kern w:val="0"/>
                <w:sz w:val="21"/>
                <w:szCs w:val="21"/>
                <w14:ligatures w14:val="none"/>
              </w:rPr>
            </w:pPr>
            <w:r>
              <w:rPr>
                <w:rFonts w:hint="eastAsia" w:ascii="仿宋" w:hAnsi="仿宋" w:eastAsia="仿宋" w:cs="仿宋"/>
                <w:b/>
                <w:bCs/>
                <w:color w:val="000000"/>
                <w:kern w:val="0"/>
                <w:sz w:val="21"/>
                <w:szCs w:val="21"/>
                <w14:ligatures w14:val="none"/>
              </w:rPr>
              <w:t>功能简述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电子签名服务</w:t>
            </w:r>
          </w:p>
        </w:tc>
        <w:tc>
          <w:tcPr>
            <w:tcW w:w="732"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协同签名服务</w:t>
            </w: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支持可视化的用户管理、证书管理，实现数字证书得申请、更新、吊销等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支持对接入应用的授权管理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提供restful API的形式接口与业务系统对接，产品提供对业务系统请求报文的真实性完整性校验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产品支持基于数字证书的安全认证登录管理功能，能实现多种角色管理，包括但不限于管理员、操作员、审计员等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支持基于服务端的签名任务发起和签名结果获取；基于协同密钥技术来实现移动端用户私钥的生成和使用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▲支持在统一页面实现对用户的集中管理，包括用户导入、用户新增、用户照片和签章图片导入、单个冻结和批量冻结、单个删除和批量删除、批量导出、签章样式自定义编辑等功能。（提供产品功能截图）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支持在线、离线证书签发模式、日志及审计功能；支持用户量、签名量、证数量的统计分析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管理员一键授权管理：能够在单一页面实现自由勾选功能模块对管理员进行权限分配，包括对用户管理功能的授权、对证书验证管理的授权、系统设置的授权、日志的授权、配置管理的授权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一人多设备、一设备多人的应用场景；支持授权签名：用户只需要使用手机在PC端完成一次授权即可多次签名，并可以关闭授权；支持推送签名：用户以推送的方式发起签名，签名者在手机端收到推送后直接完成签名；支持在签名任务中添加签名描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支持通过系统唯一用户标识绑定用户身份；支持通过接口添加用户信息，支持CRL配置和根证书配置，支持标准签名验证，能够与USBKey签名互通，支持证书有效性验证。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 xml:space="preserve">支持算法标准：SM1、SM2、SM3、SM4；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支持基于激活码下载证书和扫码下载证书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支持基于签名任务id和扫码签名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支持扫码签名、推送签名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支持通过扫码或手动方式配置服务端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▲支持集中显示待签名文件列表，并且支持批量勾选文件进行签署。（提供产品功能截图）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支持传PIN码签名：支持通过传入PIN码的方式进行签名。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支持通过PIN码或指纹进行认证后签名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支持开启和关闭指纹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提供600张（一年有效期）个人数字证书服务，标识移动端用户的网上身份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提供1张（一年有效期）协同签名数字证书服务，标识服务的可信身份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时间戳服务</w:t>
            </w:r>
          </w:p>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▲支持管理员配置功能，管理员配置支持基于数字证书的方式配置“超级管理员模式”和“三权分立模式”（提供产品功能截图）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支持时间戳的签发及验证功能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支持多种时间戳服务接口，满足各类应用开发平台调用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支持可信时间发布功能，支持时间同步机制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支持应用平台：Windows server; Linux；AIX；Solaris；Unix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支持应用接口：Java、C、COM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支持算法标准：SM2、SM3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▲提供时间源管理：支持GPS或北斗或4G授时方式（提供产品功能截图）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1" w:type="pct"/>
            <w:vMerge w:val="continue"/>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p>
        </w:tc>
        <w:tc>
          <w:tcPr>
            <w:tcW w:w="732"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仿宋" w:hAnsi="仿宋" w:eastAsia="仿宋" w:cs="仿宋"/>
                <w:color w:val="000000"/>
                <w:kern w:val="0"/>
                <w:sz w:val="21"/>
                <w:szCs w:val="21"/>
                <w14:ligatures w14:val="none"/>
              </w:rPr>
            </w:pPr>
          </w:p>
        </w:tc>
        <w:tc>
          <w:tcPr>
            <w:tcW w:w="3356" w:type="pct"/>
            <w:shd w:val="clear" w:color="auto" w:fill="auto"/>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color w:val="000000"/>
                <w:kern w:val="0"/>
                <w:sz w:val="21"/>
                <w:szCs w:val="21"/>
                <w14:ligatures w14:val="none"/>
              </w:rPr>
            </w:pPr>
            <w:r>
              <w:rPr>
                <w:rFonts w:hint="eastAsia" w:ascii="仿宋" w:hAnsi="仿宋" w:eastAsia="仿宋" w:cs="仿宋"/>
                <w:color w:val="000000"/>
                <w:kern w:val="0"/>
                <w:sz w:val="21"/>
                <w:szCs w:val="21"/>
                <w14:ligatures w14:val="none"/>
              </w:rPr>
              <w:t>提供1张（一年有效期）时间戳数字证书服务，标识服务的可信身份</w:t>
            </w:r>
          </w:p>
        </w:tc>
      </w:tr>
    </w:tbl>
    <w:p>
      <w:pPr>
        <w:rPr>
          <w:rFonts w:hint="eastAsia" w:ascii="仿宋" w:hAnsi="仿宋" w:eastAsia="仿宋" w:cs="仿宋"/>
          <w:sz w:val="24"/>
          <w:szCs w:val="24"/>
        </w:rPr>
      </w:pPr>
    </w:p>
    <w:p>
      <w:pPr>
        <w:spacing w:after="0" w:line="360" w:lineRule="auto"/>
        <w:contextualSpacing/>
        <w:outlineLvl w:val="3"/>
        <w:rPr>
          <w:rFonts w:hint="eastAsia" w:ascii="仿宋" w:hAnsi="仿宋" w:eastAsia="仿宋" w:cs="仿宋"/>
          <w:b/>
          <w:bCs/>
          <w:sz w:val="24"/>
          <w:szCs w:val="24"/>
        </w:rPr>
      </w:pPr>
      <w:bookmarkStart w:id="0" w:name="_Toc518406385"/>
      <w:r>
        <w:rPr>
          <w:rFonts w:hint="eastAsia" w:ascii="仿宋" w:hAnsi="仿宋" w:eastAsia="仿宋" w:cs="仿宋"/>
          <w:b/>
          <w:bCs/>
          <w:sz w:val="24"/>
          <w:szCs w:val="24"/>
        </w:rPr>
        <w:t>2</w:t>
      </w:r>
      <w:r>
        <w:rPr>
          <w:rFonts w:hint="eastAsia" w:ascii="仿宋" w:hAnsi="仿宋" w:eastAsia="仿宋" w:cs="仿宋"/>
          <w:b/>
          <w:bCs/>
          <w:sz w:val="24"/>
          <w:szCs w:val="24"/>
          <w:lang w:eastAsia="zh-CN"/>
        </w:rPr>
        <w:t>、</w:t>
      </w:r>
      <w:r>
        <w:rPr>
          <w:rFonts w:hint="eastAsia" w:ascii="仿宋" w:hAnsi="仿宋" w:eastAsia="仿宋" w:cs="仿宋"/>
          <w:b/>
          <w:bCs/>
          <w:sz w:val="24"/>
          <w:szCs w:val="24"/>
        </w:rPr>
        <w:t>其他要求</w:t>
      </w:r>
      <w:bookmarkEnd w:id="0"/>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2.1服务要求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根据医院对移动医疗环境电子认证应用需求，提供基于移动场景的电子签名解决方案。具体满足以下要求：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(1)提供的产品或服务能够满足合法性、便捷性、多人共用、多场景；</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(2)提供的产品或服务不改变医院现有网络环境，要求数据在内网下签署、登录认证在内网环境下完成；</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(3)通过移动设备可直接对文档签署，无需回传到PC端进行签署；</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(4)提供的产品或服务支持数据签名、文档签名，满足签章文书多样性。</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2.2安全要求</w:t>
      </w:r>
    </w:p>
    <w:p>
      <w:pPr>
        <w:spacing w:after="0" w:line="360" w:lineRule="auto"/>
        <w:ind w:firstLine="480" w:firstLineChars="200"/>
        <w:contextualSpacing/>
        <w:rPr>
          <w:rFonts w:hint="eastAsia" w:ascii="仿宋" w:hAnsi="仿宋" w:eastAsia="仿宋" w:cs="仿宋"/>
          <w:sz w:val="24"/>
          <w:szCs w:val="24"/>
        </w:rPr>
      </w:pPr>
      <w:r>
        <w:rPr>
          <w:rFonts w:hint="eastAsia" w:ascii="仿宋" w:hAnsi="仿宋" w:eastAsia="仿宋" w:cs="仿宋"/>
          <w:sz w:val="24"/>
          <w:szCs w:val="24"/>
        </w:rPr>
        <w:t>根据医院电子病历系统等医院信息系统的实际安全需求，设计基于数字证书的应用安全支撑体系，通过证书及证书应用相关产品和技术，实现电子认证服务与医院业务应用的有机结合，解决医院电子病历系统等系统的身份认证、授权管理、责任认定等安全问题，解决电子病历的真实性、完整性、有效性等问题，建立安全可信的医院医疗业务环境。具体满足以下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(1)全面分析医院电子病历系统等信息系统的应用安全需求，提供针对的、完善的应用安全支撑体系整体框架，以及具体的证书、证书应用产品或证书应用技术构成；</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(2)提供应用安全支撑体系在医院电子病历系统、HIS系统、LIS系统、PACS系统的应用集成方案，详细说明集成的业务环节和业务流程等，以及在B/S、C/S、C/DB等各类系统架构下的应用集成方式，满足医院对业务安全、应急处理和业务连续性的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(3)提供电子签名值的存储方式，以及能够优化存储、减少空间占用的实用技术方案，有效降低电子签名值的存储占用空间；</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(4)选用的证书应用产品或应用技术应满足医院信息系统的业务环境以及性能的要求，具备扩展性以满足医院定制化改造需求；应提供标准的、通用的、多样化的接口形态，满足医院PB、Delphi、VC/VB/.Net、Java、Flash等各类开发平台和技术的实际集成需要。</w:t>
      </w:r>
    </w:p>
    <w:p>
      <w:pPr>
        <w:spacing w:after="0" w:line="360" w:lineRule="auto"/>
        <w:contextualSpacing/>
        <w:outlineLvl w:val="4"/>
        <w:rPr>
          <w:rFonts w:hint="eastAsia" w:ascii="仿宋" w:hAnsi="仿宋" w:eastAsia="仿宋" w:cs="仿宋"/>
          <w:b/>
          <w:bCs/>
          <w:sz w:val="24"/>
          <w:szCs w:val="24"/>
        </w:rPr>
      </w:pPr>
      <w:r>
        <w:rPr>
          <w:rFonts w:hint="eastAsia" w:ascii="仿宋" w:hAnsi="仿宋" w:eastAsia="仿宋" w:cs="仿宋"/>
          <w:b/>
          <w:bCs/>
          <w:sz w:val="24"/>
          <w:szCs w:val="24"/>
        </w:rPr>
        <w:t>2.3资质要求</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(1)▲协同签名系统产品具备IPv6 Ready Logo认证证书，提供证书扫描件；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(2)▲协同签名系统产品具备国家网络与信息系统安全产品质量监督检验中心出具的《信息技术产品安全测试证书》，确保产品不存在漏洞库中已知的中、高风险漏洞，提供证书扫描件；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(3)▲协同签名系统可以与国产操作系统（统信、麒麟）实现互信认证，提供证书扫描件；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lang w:val="zh-CN" w:eastAsia="zh-CN"/>
        </w:rPr>
        <w:t>★</w:t>
      </w:r>
      <w:r>
        <w:rPr>
          <w:rFonts w:hint="eastAsia" w:ascii="仿宋" w:hAnsi="仿宋" w:eastAsia="仿宋" w:cs="仿宋"/>
          <w:sz w:val="24"/>
          <w:szCs w:val="24"/>
        </w:rPr>
        <w:t>电子签名服务选用的产品制造商须为具备工信部《电子认证服务许可证》及国家密码管理局《电子认证服务使用密码许可证》的权威CA机构，需提供《电子认证服务许可证》及《电子认证服务使用密码许可证》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(5)▲时间戳服务产品具备IPv6 Ready Logo认证证书，提供证书扫描件；</w:t>
      </w:r>
    </w:p>
    <w:p>
      <w:pPr>
        <w:spacing w:after="0" w:line="360" w:lineRule="auto"/>
        <w:ind w:firstLine="480" w:firstLineChars="200"/>
        <w:contextualSpacing/>
        <w:jc w:val="both"/>
        <w:rPr>
          <w:rFonts w:hint="eastAsia" w:ascii="仿宋" w:hAnsi="仿宋" w:eastAsia="仿宋" w:cs="仿宋"/>
          <w:sz w:val="24"/>
          <w:szCs w:val="24"/>
        </w:rPr>
      </w:pPr>
      <w:r>
        <w:rPr>
          <w:rFonts w:hint="eastAsia" w:ascii="仿宋" w:hAnsi="仿宋" w:eastAsia="仿宋" w:cs="仿宋"/>
          <w:sz w:val="24"/>
          <w:szCs w:val="24"/>
        </w:rPr>
        <w:t>(6)▲时间戳服务产品具备国家网络与信息系统安全产品质量监督检验中心出具的《信息技术产品安全测试证书》，确保产品不存在漏洞库中已知的中、高风险漏洞，提供证书扫描件。</w:t>
      </w:r>
    </w:p>
    <w:p>
      <w:p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bidi="zh-CN"/>
        </w:rPr>
        <w:t>五、</w:t>
      </w:r>
      <w:r>
        <w:rPr>
          <w:rFonts w:hint="eastAsia" w:ascii="仿宋" w:hAnsi="仿宋" w:eastAsia="仿宋" w:cs="仿宋"/>
          <w:b/>
          <w:bCs/>
          <w:sz w:val="28"/>
          <w:szCs w:val="28"/>
          <w:lang w:val="en-US" w:eastAsia="zh-CN"/>
        </w:rPr>
        <w:t>验收要求</w:t>
      </w:r>
    </w:p>
    <w:p>
      <w:pPr>
        <w:pStyle w:val="19"/>
        <w:ind w:firstLine="480" w:firstLineChars="200"/>
        <w:textAlignment w:val="baseline"/>
        <w:rPr>
          <w:rFonts w:ascii="仿宋" w:hAnsi="仿宋" w:eastAsia="仿宋" w:cs="仿宋"/>
          <w:bCs/>
          <w:sz w:val="24"/>
          <w:szCs w:val="24"/>
        </w:rPr>
      </w:pPr>
      <w:r>
        <w:rPr>
          <w:rFonts w:hint="eastAsia" w:ascii="仿宋" w:hAnsi="仿宋" w:eastAsia="仿宋" w:cs="仿宋"/>
          <w:bCs/>
          <w:sz w:val="24"/>
          <w:szCs w:val="24"/>
        </w:rPr>
        <w:t>（一）验收</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1.初验</w:t>
      </w:r>
    </w:p>
    <w:p>
      <w:pPr>
        <w:pStyle w:val="21"/>
        <w:tabs>
          <w:tab w:val="left" w:pos="753"/>
        </w:tabs>
        <w:spacing w:line="360" w:lineRule="auto"/>
        <w:ind w:firstLine="480" w:firstLineChars="200"/>
        <w:rPr>
          <w:rFonts w:hint="eastAsia" w:ascii="仿宋" w:hAnsi="仿宋" w:eastAsia="仿宋" w:cs="仿宋"/>
          <w:kern w:val="2"/>
          <w:sz w:val="24"/>
          <w:szCs w:val="22"/>
        </w:rPr>
      </w:pPr>
      <w:r>
        <w:rPr>
          <w:rFonts w:hint="eastAsia" w:ascii="仿宋" w:hAnsi="仿宋" w:eastAsia="仿宋" w:cs="仿宋"/>
          <w:kern w:val="2"/>
          <w:sz w:val="24"/>
          <w:szCs w:val="22"/>
        </w:rPr>
        <w:t>在接到甲方进场通知后</w:t>
      </w:r>
      <w:r>
        <w:rPr>
          <w:rFonts w:hint="eastAsia" w:ascii="仿宋" w:hAnsi="仿宋" w:eastAsia="仿宋" w:cs="仿宋"/>
          <w:kern w:val="2"/>
          <w:sz w:val="24"/>
          <w:szCs w:val="22"/>
          <w:lang w:val="en-US" w:eastAsia="zh-CN"/>
        </w:rPr>
        <w:t>40</w:t>
      </w:r>
      <w:r>
        <w:rPr>
          <w:rFonts w:hint="eastAsia" w:ascii="仿宋" w:hAnsi="仿宋" w:eastAsia="仿宋" w:cs="仿宋"/>
          <w:sz w:val="24"/>
          <w:szCs w:val="24"/>
        </w:rPr>
        <w:t>个</w:t>
      </w:r>
      <w:r>
        <w:rPr>
          <w:rFonts w:hint="eastAsia" w:ascii="仿宋" w:hAnsi="仿宋" w:eastAsia="仿宋" w:cs="仿宋"/>
          <w:kern w:val="2"/>
          <w:sz w:val="24"/>
          <w:szCs w:val="22"/>
        </w:rPr>
        <w:t>工作日内软件上线且运行报备后，乙方向甲方提交项目初验技术资料以及初验申请单，甲方收到申请后组织初验并按照合同约定以及响应文件中的产品技术标准进行验收无问题后签署初验单。</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2.终验</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初验合格后进入运行维护期，售后运行维护期</w:t>
      </w:r>
      <w:r>
        <w:rPr>
          <w:rFonts w:hint="eastAsia" w:ascii="仿宋" w:hAnsi="仿宋" w:eastAsia="仿宋" w:cs="仿宋"/>
          <w:kern w:val="2"/>
          <w:sz w:val="24"/>
          <w:szCs w:val="22"/>
          <w:lang w:val="en-US" w:eastAsia="zh-CN"/>
        </w:rPr>
        <w:t>1年期满后</w:t>
      </w:r>
      <w:r>
        <w:rPr>
          <w:rFonts w:hint="eastAsia" w:ascii="仿宋" w:hAnsi="仿宋" w:eastAsia="仿宋" w:cs="仿宋"/>
          <w:kern w:val="2"/>
          <w:sz w:val="24"/>
          <w:szCs w:val="22"/>
        </w:rPr>
        <w:t>，乙方向甲方提交项目验收技术资料以及终验申请单，甲方收到申请后组织终验且验收无问题后签署终验单。</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注：验收的标准按照采购文件、响应文件及相关标准实施，须服从采购人安排要求。</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（二）验收标准</w:t>
      </w:r>
    </w:p>
    <w:p>
      <w:pPr>
        <w:pStyle w:val="21"/>
        <w:tabs>
          <w:tab w:val="left" w:pos="753"/>
        </w:tabs>
        <w:spacing w:line="360" w:lineRule="auto"/>
        <w:ind w:firstLine="480" w:firstLineChars="200"/>
        <w:rPr>
          <w:rFonts w:ascii="仿宋" w:hAnsi="仿宋" w:eastAsia="仿宋" w:cs="仿宋"/>
          <w:kern w:val="2"/>
          <w:sz w:val="24"/>
          <w:szCs w:val="22"/>
        </w:rPr>
      </w:pPr>
      <w:r>
        <w:rPr>
          <w:rFonts w:hint="eastAsia" w:ascii="仿宋" w:hAnsi="仿宋" w:eastAsia="仿宋" w:cs="仿宋"/>
          <w:kern w:val="2"/>
          <w:sz w:val="24"/>
          <w:szCs w:val="22"/>
        </w:rPr>
        <w:t>中标方提供的货物有国家标准的应符合国家标准，无国家标准的应符合行业标准、地方标准或者其他标准、规范，并满足采购文件及采购人需求。</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六、</w:t>
      </w:r>
      <w:r>
        <w:rPr>
          <w:rFonts w:hint="eastAsia" w:ascii="仿宋" w:hAnsi="仿宋" w:eastAsia="仿宋" w:cs="仿宋"/>
          <w:b/>
          <w:bCs/>
          <w:sz w:val="28"/>
          <w:szCs w:val="28"/>
          <w:lang w:eastAsia="zh-CN" w:bidi="zh-CN"/>
        </w:rPr>
        <w:t>项目实施方案</w:t>
      </w:r>
    </w:p>
    <w:p>
      <w:pPr>
        <w:pStyle w:val="21"/>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项目建设方案内容涵盖：项目背景理解、需求分析、设计思路以及针对CDSS 临床决策辅助系统、CA 签名认证服务的详细建设方案。</w:t>
      </w:r>
    </w:p>
    <w:p>
      <w:pPr>
        <w:pStyle w:val="21"/>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项目实施计划内容涵盖：</w:t>
      </w:r>
    </w:p>
    <w:p>
      <w:pPr>
        <w:pStyle w:val="21"/>
        <w:numPr>
          <w:ilvl w:val="0"/>
          <w:numId w:val="2"/>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时间进度安排（进度计划、进度计划保障措施、有明确的时间节点和应急安排等确保按期交付使用）；</w:t>
      </w:r>
    </w:p>
    <w:p>
      <w:pPr>
        <w:pStyle w:val="21"/>
        <w:numPr>
          <w:ilvl w:val="0"/>
          <w:numId w:val="2"/>
        </w:numPr>
        <w:tabs>
          <w:tab w:val="left" w:pos="753"/>
        </w:tabs>
        <w:spacing w:line="360" w:lineRule="auto"/>
        <w:ind w:left="0" w:leftChars="0"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项目组织方案（项目组织管理、技术力量和人员配置、实施策略等）；</w:t>
      </w:r>
    </w:p>
    <w:p>
      <w:pPr>
        <w:pStyle w:val="21"/>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（3）项目质量及实施管理方案（质量管理、实施管理、成本管理、风险管理、管理制度等）；</w:t>
      </w:r>
    </w:p>
    <w:p>
      <w:pPr>
        <w:pStyle w:val="21"/>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（4）项目测试方案（测试目标、流程、实施、评估等）；</w:t>
      </w:r>
    </w:p>
    <w:p>
      <w:pPr>
        <w:pStyle w:val="21"/>
        <w:numPr>
          <w:ilvl w:val="0"/>
          <w:numId w:val="0"/>
        </w:numPr>
        <w:tabs>
          <w:tab w:val="left" w:pos="753"/>
        </w:tabs>
        <w:spacing w:line="360" w:lineRule="auto"/>
        <w:ind w:firstLine="480" w:firstLineChars="200"/>
        <w:rPr>
          <w:rFonts w:hint="eastAsia" w:ascii="仿宋" w:hAnsi="仿宋" w:eastAsia="仿宋" w:cs="仿宋"/>
          <w:kern w:val="2"/>
          <w:sz w:val="24"/>
          <w:szCs w:val="22"/>
          <w:lang w:val="en-US" w:eastAsia="zh-CN"/>
        </w:rPr>
      </w:pPr>
      <w:r>
        <w:rPr>
          <w:rFonts w:hint="eastAsia" w:ascii="仿宋" w:hAnsi="仿宋" w:eastAsia="仿宋" w:cs="仿宋"/>
          <w:kern w:val="2"/>
          <w:sz w:val="24"/>
          <w:szCs w:val="22"/>
          <w:lang w:val="en-US" w:eastAsia="zh-CN"/>
        </w:rPr>
        <w:t>（5）系统应急方案（风险分析及应对措施、运行保障体系等）。</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七、售后服务</w:t>
      </w:r>
    </w:p>
    <w:p>
      <w:pPr>
        <w:pStyle w:val="23"/>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1、售后服务涵盖：</w:t>
      </w:r>
    </w:p>
    <w:p>
      <w:pPr>
        <w:pStyle w:val="23"/>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（1）服务机构、服务体系、服务内容等；</w:t>
      </w:r>
    </w:p>
    <w:p>
      <w:pPr>
        <w:pStyle w:val="23"/>
        <w:spacing w:line="360" w:lineRule="auto"/>
        <w:ind w:firstLine="480" w:firstLineChars="200"/>
        <w:rPr>
          <w:rFonts w:hint="eastAsia" w:ascii="仿宋" w:hAnsi="仿宋" w:eastAsia="仿宋" w:cs="仿宋"/>
          <w:sz w:val="24"/>
          <w:szCs w:val="22"/>
        </w:rPr>
      </w:pPr>
      <w:r>
        <w:rPr>
          <w:rFonts w:hint="eastAsia" w:ascii="仿宋" w:hAnsi="仿宋" w:eastAsia="仿宋" w:cs="仿宋"/>
          <w:sz w:val="24"/>
          <w:szCs w:val="22"/>
        </w:rPr>
        <w:t xml:space="preserve">（2）提供项目全周期综合运维解决方案（现场服务措施以及维护期内外的后续技术支持和维护能力等）； </w:t>
      </w:r>
    </w:p>
    <w:p>
      <w:pPr>
        <w:pStyle w:val="23"/>
        <w:spacing w:line="360" w:lineRule="auto"/>
        <w:ind w:firstLine="480" w:firstLineChars="200"/>
        <w:rPr>
          <w:rFonts w:hint="eastAsia" w:ascii="仿宋" w:hAnsi="仿宋" w:eastAsia="仿宋" w:cs="仿宋"/>
          <w:sz w:val="24"/>
          <w:szCs w:val="22"/>
          <w:lang w:eastAsia="zh-CN"/>
        </w:rPr>
      </w:pPr>
      <w:r>
        <w:rPr>
          <w:rFonts w:hint="eastAsia" w:ascii="仿宋" w:hAnsi="仿宋" w:eastAsia="仿宋" w:cs="仿宋"/>
          <w:sz w:val="24"/>
          <w:szCs w:val="22"/>
        </w:rPr>
        <w:t>（3）提供专业保障服务团队方案（综合能力配备、服务团队的技术能力等）</w:t>
      </w:r>
      <w:r>
        <w:rPr>
          <w:rFonts w:hint="eastAsia" w:ascii="仿宋" w:hAnsi="仿宋" w:eastAsia="仿宋" w:cs="仿宋"/>
          <w:sz w:val="24"/>
          <w:szCs w:val="22"/>
          <w:lang w:eastAsia="zh-CN"/>
        </w:rPr>
        <w:t>；</w:t>
      </w:r>
    </w:p>
    <w:p>
      <w:pPr>
        <w:pStyle w:val="24"/>
        <w:ind w:firstLine="480" w:firstLineChars="200"/>
        <w:rPr>
          <w:rFonts w:hint="eastAsia"/>
          <w:lang w:eastAsia="zh-CN"/>
        </w:rPr>
      </w:pPr>
      <w:r>
        <w:rPr>
          <w:rFonts w:hint="eastAsia" w:ascii="仿宋" w:hAnsi="仿宋" w:eastAsia="仿宋" w:cs="仿宋"/>
          <w:sz w:val="24"/>
          <w:szCs w:val="22"/>
        </w:rPr>
        <w:t>（4）应急保障措施、应急处理方案、故障响应及修复时间方案、运维服务</w:t>
      </w:r>
    </w:p>
    <w:p>
      <w:pPr>
        <w:pStyle w:val="23"/>
        <w:spacing w:line="360" w:lineRule="auto"/>
        <w:rPr>
          <w:rFonts w:hint="eastAsia" w:ascii="仿宋" w:hAnsi="仿宋" w:eastAsia="仿宋" w:cs="仿宋"/>
          <w:sz w:val="24"/>
          <w:szCs w:val="22"/>
        </w:rPr>
      </w:pPr>
      <w:r>
        <w:rPr>
          <w:rFonts w:hint="eastAsia" w:ascii="仿宋" w:hAnsi="仿宋" w:eastAsia="仿宋" w:cs="仿宋"/>
          <w:sz w:val="24"/>
          <w:szCs w:val="22"/>
        </w:rPr>
        <w:t>电话等；</w:t>
      </w:r>
    </w:p>
    <w:p>
      <w:pPr>
        <w:pStyle w:val="23"/>
        <w:spacing w:line="360" w:lineRule="auto"/>
        <w:ind w:firstLine="480" w:firstLineChars="200"/>
        <w:rPr>
          <w:rFonts w:ascii="仿宋" w:hAnsi="仿宋" w:eastAsia="仿宋" w:cs="仿宋"/>
          <w:sz w:val="24"/>
          <w:szCs w:val="22"/>
        </w:rPr>
      </w:pPr>
      <w:r>
        <w:rPr>
          <w:rFonts w:hint="eastAsia" w:ascii="仿宋" w:hAnsi="仿宋" w:eastAsia="仿宋" w:cs="仿宋"/>
          <w:sz w:val="24"/>
          <w:szCs w:val="22"/>
        </w:rPr>
        <w:t>（5）培训方案涵盖：培训内容、培训时间、培训地点、培训目标、培训人数、培训方法和培训师资等内容。</w:t>
      </w:r>
    </w:p>
    <w:p>
      <w:pPr>
        <w:pStyle w:val="22"/>
        <w:spacing w:line="360" w:lineRule="auto"/>
        <w:ind w:firstLine="480" w:firstLineChars="200"/>
        <w:rPr>
          <w:rFonts w:ascii="仿宋" w:hAnsi="仿宋" w:eastAsia="仿宋" w:cs="仿宋"/>
          <w:sz w:val="24"/>
          <w:szCs w:val="22"/>
        </w:rPr>
      </w:pPr>
      <w:r>
        <w:rPr>
          <w:rFonts w:hint="eastAsia" w:ascii="仿宋" w:hAnsi="仿宋" w:eastAsia="仿宋" w:cs="仿宋"/>
          <w:sz w:val="24"/>
          <w:szCs w:val="22"/>
          <w:lang w:val="en-US" w:eastAsia="zh-CN"/>
        </w:rPr>
        <w:t>2</w:t>
      </w:r>
      <w:r>
        <w:rPr>
          <w:rFonts w:hint="eastAsia" w:ascii="仿宋" w:hAnsi="仿宋" w:eastAsia="仿宋" w:cs="仿宋"/>
          <w:sz w:val="24"/>
          <w:szCs w:val="22"/>
        </w:rPr>
        <w:t>、运行维护期</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一</w:t>
      </w:r>
      <w:r>
        <w:rPr>
          <w:rFonts w:hint="eastAsia" w:ascii="仿宋" w:hAnsi="仿宋" w:eastAsia="仿宋"/>
          <w:color w:val="000000"/>
          <w:sz w:val="24"/>
          <w:szCs w:val="24"/>
        </w:rPr>
        <w:t>年。（有特殊要求的产品，售后服务期按招标文件的约定执行）。</w:t>
      </w:r>
      <w:r>
        <w:rPr>
          <w:rFonts w:hint="eastAsia" w:ascii="仿宋" w:hAnsi="仿宋" w:eastAsia="仿宋"/>
          <w:color w:val="000000"/>
          <w:sz w:val="24"/>
          <w:szCs w:val="24"/>
          <w:lang w:val="en-US" w:eastAsia="zh-CN"/>
        </w:rPr>
        <w:t>一</w:t>
      </w:r>
      <w:r>
        <w:rPr>
          <w:rFonts w:hint="eastAsia" w:ascii="仿宋" w:hAnsi="仿宋" w:eastAsia="仿宋"/>
          <w:color w:val="000000"/>
          <w:sz w:val="24"/>
          <w:szCs w:val="24"/>
        </w:rPr>
        <w:t>年内发现设备缺陷等质量问题，</w:t>
      </w:r>
      <w:r>
        <w:rPr>
          <w:rFonts w:hint="eastAsia" w:ascii="仿宋" w:hAnsi="仿宋" w:eastAsia="仿宋"/>
          <w:color w:val="000000"/>
          <w:sz w:val="24"/>
          <w:szCs w:val="24"/>
          <w:lang w:eastAsia="zh-CN"/>
        </w:rPr>
        <w:t>中标供应商</w:t>
      </w:r>
      <w:r>
        <w:rPr>
          <w:rFonts w:hint="eastAsia" w:ascii="仿宋" w:hAnsi="仿宋" w:eastAsia="仿宋"/>
          <w:color w:val="000000"/>
          <w:sz w:val="24"/>
          <w:szCs w:val="24"/>
        </w:rPr>
        <w:t>负责无条件维修或调换；</w:t>
      </w:r>
      <w:r>
        <w:rPr>
          <w:rFonts w:hint="eastAsia" w:ascii="仿宋" w:hAnsi="仿宋" w:eastAsia="仿宋"/>
          <w:color w:val="000000"/>
          <w:sz w:val="24"/>
          <w:szCs w:val="24"/>
          <w:lang w:eastAsia="zh-CN"/>
        </w:rPr>
        <w:t>中标供应商</w:t>
      </w:r>
      <w:r>
        <w:rPr>
          <w:rFonts w:hint="eastAsia" w:ascii="仿宋" w:hAnsi="仿宋" w:eastAsia="仿宋"/>
          <w:color w:val="000000"/>
          <w:sz w:val="24"/>
          <w:szCs w:val="24"/>
        </w:rPr>
        <w:t>货物经过双方检验认可后，签署验收报告，按国家及相关部门的 “三包”要求（特别要求的按特别要求执行），售后服务期自初验之日起算。</w:t>
      </w:r>
    </w:p>
    <w:p>
      <w:pPr>
        <w:pStyle w:val="22"/>
        <w:spacing w:line="360" w:lineRule="auto"/>
        <w:ind w:firstLine="480" w:firstLineChars="200"/>
        <w:rPr>
          <w:rFonts w:ascii="仿宋" w:hAnsi="仿宋" w:eastAsia="仿宋" w:cs="仿宋"/>
          <w:sz w:val="24"/>
          <w:szCs w:val="22"/>
        </w:rPr>
      </w:pPr>
      <w:r>
        <w:rPr>
          <w:rFonts w:hint="eastAsia" w:ascii="仿宋" w:hAnsi="仿宋" w:eastAsia="仿宋" w:cs="仿宋"/>
          <w:sz w:val="24"/>
          <w:szCs w:val="22"/>
          <w:lang w:val="en-US" w:eastAsia="zh-CN"/>
        </w:rPr>
        <w:t>3、</w:t>
      </w:r>
      <w:r>
        <w:rPr>
          <w:rFonts w:hint="eastAsia" w:ascii="仿宋" w:hAnsi="仿宋" w:eastAsia="仿宋" w:cs="仿宋"/>
          <w:sz w:val="24"/>
          <w:szCs w:val="22"/>
        </w:rPr>
        <w:t>供应商须配备技术人员，服务电话，负责解答用户在设备使用中遇到的问题，及时提出解决问题的建议和操作方法，并能够及时派出技术人员，现场提供临时性应急保障及维修需求。</w:t>
      </w:r>
    </w:p>
    <w:p>
      <w:pPr>
        <w:pStyle w:val="22"/>
        <w:spacing w:line="360" w:lineRule="auto"/>
        <w:ind w:firstLine="480" w:firstLineChars="200"/>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4、售后服务响应时间：中标供应商应提供7*24小时，一般性问题，立即响应，0.5小时解决，特殊问题需要另安排工程师服务（非驻场人员），4小时内安排工程师赶往现场解决问题，2小时内提出解决方案，进行现场服务时间依据客户计划时间提供。</w:t>
      </w:r>
    </w:p>
    <w:p>
      <w:pPr>
        <w:spacing w:line="360" w:lineRule="auto"/>
        <w:rPr>
          <w:rFonts w:hint="default"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八、其他要求</w:t>
      </w:r>
    </w:p>
    <w:p>
      <w:pPr>
        <w:numPr>
          <w:ilvl w:val="0"/>
          <w:numId w:val="0"/>
        </w:numPr>
        <w:spacing w:line="360" w:lineRule="auto"/>
        <w:ind w:firstLine="482" w:firstLineChars="200"/>
        <w:rPr>
          <w:rFonts w:hint="eastAsia" w:ascii="仿宋" w:hAnsi="仿宋" w:eastAsia="仿宋" w:cs="仿宋"/>
          <w:b/>
          <w:bCs/>
          <w:caps w:val="0"/>
          <w:color w:val="auto"/>
          <w:sz w:val="24"/>
          <w:szCs w:val="24"/>
        </w:rPr>
      </w:pPr>
      <w:r>
        <w:rPr>
          <w:rFonts w:hint="eastAsia" w:ascii="仿宋" w:hAnsi="仿宋" w:eastAsia="仿宋" w:cs="仿宋"/>
          <w:b/>
          <w:bCs/>
          <w:caps w:val="0"/>
          <w:color w:val="auto"/>
          <w:sz w:val="24"/>
          <w:szCs w:val="24"/>
          <w:lang w:val="en-US" w:eastAsia="zh-CN"/>
        </w:rPr>
        <w:t>1、</w:t>
      </w:r>
      <w:r>
        <w:rPr>
          <w:rFonts w:hint="eastAsia" w:ascii="仿宋" w:hAnsi="仿宋" w:eastAsia="仿宋" w:cs="仿宋"/>
          <w:b/>
          <w:bCs/>
          <w:caps w:val="0"/>
          <w:color w:val="auto"/>
          <w:sz w:val="24"/>
          <w:szCs w:val="24"/>
        </w:rPr>
        <w:t>采购标的需实现的功能或者目标，及为落实政府采购政策需满足的要求；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lang w:val="en-US" w:eastAsia="zh-CN"/>
        </w:rPr>
        <w:t>1.</w:t>
      </w:r>
      <w:r>
        <w:rPr>
          <w:rFonts w:hint="eastAsia" w:ascii="仿宋" w:hAnsi="仿宋" w:eastAsia="仿宋" w:cs="仿宋"/>
          <w:caps w:val="0"/>
          <w:color w:val="auto"/>
          <w:sz w:val="24"/>
          <w:szCs w:val="24"/>
        </w:rPr>
        <w:t>1 采购本国货物、工程和服务</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w:t>
      </w:r>
      <w:r>
        <w:rPr>
          <w:rFonts w:hint="eastAsia" w:ascii="仿宋" w:hAnsi="仿宋" w:eastAsia="仿宋" w:cs="仿宋"/>
          <w:caps w:val="0"/>
          <w:color w:val="auto"/>
          <w:sz w:val="24"/>
          <w:szCs w:val="24"/>
        </w:rPr>
        <w:t>.1.1政府采购应当采购本国货物、工程和服务，但有《中华人民共和国政府采购法》第十条规定情形的除外。</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w:t>
      </w:r>
      <w:r>
        <w:rPr>
          <w:rFonts w:hint="eastAsia" w:ascii="仿宋" w:hAnsi="仿宋" w:eastAsia="仿宋" w:cs="仿宋"/>
          <w:caps w:val="0"/>
          <w:color w:val="auto"/>
          <w:sz w:val="24"/>
          <w:szCs w:val="24"/>
          <w:lang w:val="en-US" w:eastAsia="zh-CN"/>
        </w:rPr>
        <w:t>1.2</w:t>
      </w:r>
      <w:r>
        <w:rPr>
          <w:rFonts w:hint="eastAsia" w:ascii="仿宋" w:hAnsi="仿宋" w:eastAsia="仿宋" w:cs="仿宋"/>
          <w:caps w:val="0"/>
          <w:color w:val="auto"/>
          <w:sz w:val="24"/>
          <w:szCs w:val="24"/>
        </w:rPr>
        <w:t>如采购进口产品的，应当符合《政府采购进口产品管理办法》(财库(2007)119 号文) 、《关于政府采购进口产品管理有关问题的通知》 (财办库 (2008) 248号文) 等相关规定。本项目是否采购进口产品，以须知前附表确定的为准。</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1.2</w:t>
      </w:r>
      <w:r>
        <w:rPr>
          <w:rFonts w:hint="eastAsia" w:ascii="仿宋" w:hAnsi="仿宋" w:eastAsia="仿宋" w:cs="仿宋"/>
          <w:caps w:val="0"/>
          <w:color w:val="auto"/>
          <w:sz w:val="24"/>
          <w:szCs w:val="24"/>
        </w:rPr>
        <w:t>绿色数据中心政府采购需求标准（试行）</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kern w:val="2"/>
          <w:sz w:val="24"/>
          <w:szCs w:val="24"/>
          <w:lang w:val="en-US" w:eastAsia="zh-CN" w:bidi="ar-SA"/>
        </w:rPr>
        <w:t>1.2.1</w:t>
      </w:r>
      <w:r>
        <w:rPr>
          <w:rFonts w:hint="eastAsia" w:ascii="仿宋" w:hAnsi="仿宋" w:eastAsia="仿宋" w:cs="仿宋"/>
          <w:caps w:val="0"/>
          <w:color w:val="auto"/>
          <w:sz w:val="24"/>
          <w:szCs w:val="24"/>
        </w:rPr>
        <w:t>为加快数据中心绿色转型，根据财政部 生态环境部 工业和信息化部关于印发《绿色数据中心政府采购需求标准（试行）》的通知），本项目如涉及绿色数据中心，</w:t>
      </w:r>
      <w:r>
        <w:rPr>
          <w:rFonts w:hint="eastAsia" w:ascii="仿宋" w:hAnsi="仿宋" w:eastAsia="仿宋" w:cs="仿宋"/>
          <w:caps w:val="0"/>
          <w:color w:val="auto"/>
          <w:kern w:val="2"/>
          <w:sz w:val="24"/>
          <w:szCs w:val="24"/>
          <w:lang w:val="en-US" w:eastAsia="zh-CN" w:bidi="ar-SA"/>
        </w:rPr>
        <w:t>投标人应当提供符合需求标准的产品</w:t>
      </w:r>
      <w:r>
        <w:rPr>
          <w:rFonts w:hint="eastAsia" w:ascii="仿宋" w:hAnsi="仿宋" w:eastAsia="仿宋" w:cs="仿宋"/>
          <w:caps w:val="0"/>
          <w:color w:val="auto"/>
          <w:sz w:val="24"/>
          <w:szCs w:val="24"/>
        </w:rPr>
        <w:t>。</w:t>
      </w:r>
    </w:p>
    <w:p>
      <w:pPr>
        <w:spacing w:line="360" w:lineRule="auto"/>
        <w:rPr>
          <w:rFonts w:hint="eastAsia" w:ascii="仿宋" w:hAnsi="仿宋" w:eastAsia="仿宋" w:cs="仿宋"/>
          <w:b/>
          <w:bCs/>
          <w:sz w:val="28"/>
          <w:szCs w:val="28"/>
          <w:lang w:val="en-US" w:eastAsia="zh-CN" w:bidi="zh-CN"/>
        </w:rPr>
      </w:pPr>
      <w:r>
        <w:rPr>
          <w:rFonts w:hint="eastAsia" w:ascii="仿宋" w:hAnsi="仿宋" w:eastAsia="仿宋" w:cs="仿宋"/>
          <w:b/>
          <w:bCs/>
          <w:sz w:val="28"/>
          <w:szCs w:val="28"/>
          <w:lang w:val="en-US" w:eastAsia="zh-CN" w:bidi="zh-CN"/>
        </w:rPr>
        <w:t>九、报价要求</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1、报价内容包括：</w:t>
      </w:r>
      <w:r>
        <w:rPr>
          <w:rFonts w:hint="eastAsia" w:ascii="仿宋" w:hAnsi="仿宋" w:eastAsia="仿宋" w:cs="仿宋"/>
          <w:caps w:val="0"/>
          <w:color w:val="auto"/>
          <w:sz w:val="24"/>
          <w:szCs w:val="24"/>
          <w:lang w:val="en-US" w:eastAsia="zh-CN"/>
        </w:rPr>
        <w:t>软件</w:t>
      </w:r>
      <w:r>
        <w:rPr>
          <w:rFonts w:hint="eastAsia" w:ascii="仿宋" w:hAnsi="仿宋" w:eastAsia="仿宋" w:cs="仿宋"/>
          <w:caps w:val="0"/>
          <w:color w:val="auto"/>
          <w:sz w:val="24"/>
          <w:szCs w:val="24"/>
        </w:rPr>
        <w:t>本身价格、配件、辅材、运输、装卸、人工、产品损耗、税费及产品交付使用过程中涉及到的其他一切费用。</w:t>
      </w:r>
    </w:p>
    <w:p>
      <w:pPr>
        <w:numPr>
          <w:ilvl w:val="0"/>
          <w:numId w:val="0"/>
        </w:numPr>
        <w:spacing w:line="360" w:lineRule="auto"/>
        <w:ind w:firstLine="480" w:firstLineChars="200"/>
        <w:rPr>
          <w:rFonts w:hint="eastAsia" w:ascii="仿宋" w:hAnsi="仿宋" w:eastAsia="仿宋" w:cs="仿宋"/>
          <w:caps w:val="0"/>
          <w:color w:val="auto"/>
          <w:sz w:val="24"/>
          <w:szCs w:val="24"/>
        </w:rPr>
      </w:pPr>
      <w:r>
        <w:rPr>
          <w:rFonts w:hint="eastAsia" w:ascii="仿宋" w:hAnsi="仿宋" w:eastAsia="仿宋" w:cs="仿宋"/>
          <w:caps w:val="0"/>
          <w:color w:val="auto"/>
          <w:sz w:val="24"/>
          <w:szCs w:val="24"/>
        </w:rPr>
        <w:t xml:space="preserve"> 2、供应商报价时应充分考虑所有可能影响到报价的因素，一旦招标结束最终成交，总价将包定，不予调整。如发生漏、缺、少项，都将被认为是成交供应商的报价让利行为，损失自付。</w:t>
      </w:r>
    </w:p>
    <w:p>
      <w:pPr>
        <w:snapToGrid w:val="0"/>
        <w:spacing w:before="120" w:after="120" w:line="0" w:lineRule="atLeast"/>
        <w:rPr>
          <w:rFonts w:hint="eastAsia" w:ascii="仿宋" w:hAnsi="仿宋" w:eastAsia="仿宋" w:cs="仿宋"/>
          <w:color w:val="auto"/>
          <w:sz w:val="24"/>
          <w:szCs w:val="24"/>
          <w:lang w:val="en-US" w:eastAsia="zh-CN"/>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bidi="ar"/>
        </w:rPr>
        <w:t>附件：考核标准</w:t>
      </w:r>
    </w:p>
    <w:tbl>
      <w:tblPr>
        <w:tblStyle w:val="9"/>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0"/>
        <w:gridCol w:w="1323"/>
        <w:gridCol w:w="4254"/>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序号</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考核项目</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考核内容</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kern w:val="2"/>
                <w:sz w:val="21"/>
                <w:szCs w:val="21"/>
              </w:rPr>
            </w:pPr>
            <w:r>
              <w:rPr>
                <w:rFonts w:hint="eastAsia" w:ascii="仿宋" w:hAnsi="仿宋" w:eastAsia="仿宋" w:cs="仿宋"/>
                <w:b/>
                <w:bCs w:val="0"/>
                <w:kern w:val="2"/>
                <w:sz w:val="21"/>
                <w:szCs w:val="21"/>
                <w:lang w:val="en-US" w:eastAsia="zh-CN" w:bidi="ar"/>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服务响应</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7*24 小时不间断服务，指定负责人，配备专门通信渠道，保证服务热线畅通。</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10分钟内电话响应，</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30分钟内负责人到达现场响应，</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1小时内相关专业性人员到达现场响应。</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0"/>
                <w:sz w:val="21"/>
                <w:szCs w:val="21"/>
              </w:rPr>
            </w:pPr>
            <w:r>
              <w:rPr>
                <w:rFonts w:hint="eastAsia" w:ascii="仿宋" w:hAnsi="仿宋" w:eastAsia="仿宋" w:cs="仿宋"/>
                <w:kern w:val="0"/>
                <w:sz w:val="21"/>
                <w:szCs w:val="21"/>
                <w:lang w:val="en-US" w:eastAsia="zh-CN" w:bidi="ar"/>
              </w:rPr>
              <w:t>响应不及时，每次扣2分。每扣2分扣除2000元服务费。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2</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故障处理及时性</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电话咨询无法解决的问题，24小时内采取相应措施；无法在 24 小时内解决的，应在 48 小时内派出专业人员进行技术支持。</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0"/>
                <w:sz w:val="21"/>
                <w:szCs w:val="21"/>
              </w:rPr>
            </w:pPr>
            <w:r>
              <w:rPr>
                <w:rFonts w:hint="eastAsia" w:ascii="仿宋" w:hAnsi="仿宋" w:eastAsia="仿宋" w:cs="仿宋"/>
                <w:kern w:val="0"/>
                <w:sz w:val="21"/>
                <w:szCs w:val="21"/>
                <w:lang w:val="en-US" w:eastAsia="zh-CN" w:bidi="ar"/>
              </w:rPr>
              <w:t>故障处理超时，每次扣2分。每扣2分扣除2000元服务费。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3</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日常维护</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定期对软件及网络进行巡检或回访。</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2"/>
                <w:sz w:val="21"/>
                <w:szCs w:val="21"/>
              </w:rPr>
            </w:pPr>
            <w:r>
              <w:rPr>
                <w:rFonts w:hint="eastAsia" w:ascii="仿宋" w:hAnsi="仿宋" w:eastAsia="仿宋" w:cs="仿宋"/>
                <w:kern w:val="0"/>
                <w:sz w:val="21"/>
                <w:szCs w:val="21"/>
                <w:lang w:val="en-US" w:eastAsia="zh-CN" w:bidi="ar"/>
              </w:rPr>
              <w:t>未巡检回访，每次扣2分。每扣2分扣除2000元服务费。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4</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center"/>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其他事项</w:t>
            </w:r>
          </w:p>
        </w:tc>
        <w:tc>
          <w:tcPr>
            <w:tcW w:w="4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按采购方要求做好故障处理的管控。</w:t>
            </w:r>
          </w:p>
          <w:p>
            <w:pPr>
              <w:keepNext w:val="0"/>
              <w:keepLines w:val="0"/>
              <w:widowControl w:val="0"/>
              <w:suppressLineNumbers w:val="0"/>
              <w:spacing w:before="0" w:beforeAutospacing="0" w:after="0" w:afterAutospacing="0" w:line="273" w:lineRule="auto"/>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按采购方要求须知好临时事项的服务保障工作。</w:t>
            </w:r>
          </w:p>
        </w:tc>
        <w:tc>
          <w:tcPr>
            <w:tcW w:w="2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00" w:lineRule="exact"/>
              <w:ind w:left="0" w:right="0"/>
              <w:jc w:val="both"/>
              <w:rPr>
                <w:rFonts w:hint="eastAsia" w:ascii="仿宋" w:hAnsi="仿宋" w:eastAsia="仿宋" w:cs="仿宋"/>
                <w:kern w:val="2"/>
                <w:sz w:val="21"/>
                <w:szCs w:val="21"/>
              </w:rPr>
            </w:pPr>
            <w:r>
              <w:rPr>
                <w:rFonts w:hint="eastAsia" w:ascii="仿宋" w:hAnsi="仿宋" w:eastAsia="仿宋" w:cs="仿宋"/>
                <w:kern w:val="0"/>
                <w:sz w:val="21"/>
                <w:szCs w:val="21"/>
                <w:lang w:val="en-US" w:eastAsia="zh-CN" w:bidi="ar"/>
              </w:rPr>
              <w:t>工作响应不及时，每次扣1分，未按要求做好服务工作或配合不到位，每次扣2分。每扣1分扣除1000元服务费。</w:t>
            </w:r>
          </w:p>
        </w:tc>
      </w:tr>
    </w:tbl>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bidi="ar"/>
        </w:rPr>
        <w:t>注：服务满一年对项目进行考核评分不足90分，终止合同，≥90分可续签服务合同，并给予书面表彰。</w:t>
      </w:r>
    </w:p>
    <w:p>
      <w:pPr>
        <w:spacing w:line="360" w:lineRule="auto"/>
        <w:rPr>
          <w:rFonts w:hint="eastAsia" w:ascii="仿宋" w:hAnsi="仿宋" w:eastAsia="仿宋" w:cs="仿宋"/>
          <w:color w:val="auto"/>
          <w:sz w:val="24"/>
          <w:szCs w:val="24"/>
          <w:lang w:val="en-US" w:eastAsia="zh-CN"/>
        </w:rPr>
      </w:pPr>
    </w:p>
    <w:p>
      <w:pPr>
        <w:snapToGrid w:val="0"/>
        <w:spacing w:before="120" w:after="120" w:line="0" w:lineRule="atLeast"/>
        <w:rPr>
          <w:rFonts w:hint="eastAsia" w:ascii="仿宋" w:hAnsi="仿宋" w:eastAsia="仿宋" w:cs="仿宋"/>
          <w:color w:val="auto"/>
          <w:sz w:val="24"/>
          <w:szCs w:val="24"/>
          <w:lang w:val="en-US" w:eastAsia="zh-CN"/>
        </w:rPr>
      </w:pPr>
    </w:p>
    <w:p>
      <w:pPr>
        <w:snapToGrid w:val="0"/>
        <w:spacing w:before="120" w:after="120" w:line="0" w:lineRule="atLeast"/>
        <w:rPr>
          <w:rFonts w:hint="eastAsia" w:ascii="仿宋" w:hAnsi="仿宋" w:eastAsia="仿宋" w:cs="仿宋"/>
          <w:color w:val="auto"/>
          <w:sz w:val="24"/>
          <w:szCs w:val="24"/>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A451E"/>
    <w:multiLevelType w:val="singleLevel"/>
    <w:tmpl w:val="E66A451E"/>
    <w:lvl w:ilvl="0" w:tentative="0">
      <w:start w:val="3"/>
      <w:numFmt w:val="chineseCounting"/>
      <w:suff w:val="nothing"/>
      <w:lvlText w:val="%1、"/>
      <w:lvlJc w:val="left"/>
      <w:rPr>
        <w:rFonts w:hint="eastAsia"/>
      </w:rPr>
    </w:lvl>
  </w:abstractNum>
  <w:abstractNum w:abstractNumId="1">
    <w:nsid w:val="1F840D11"/>
    <w:multiLevelType w:val="singleLevel"/>
    <w:tmpl w:val="1F840D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DQ3Nzk0ZDI3NzZmM2ZmNWViOGFlNTM3MjA5NDAifQ=="/>
  </w:docVars>
  <w:rsids>
    <w:rsidRoot w:val="00000000"/>
    <w:rsid w:val="05DD246D"/>
    <w:rsid w:val="0D9A5A76"/>
    <w:rsid w:val="0DD56120"/>
    <w:rsid w:val="1298085B"/>
    <w:rsid w:val="14A21F50"/>
    <w:rsid w:val="16ED44DA"/>
    <w:rsid w:val="19202945"/>
    <w:rsid w:val="1F470500"/>
    <w:rsid w:val="20E64474"/>
    <w:rsid w:val="22DB5B2F"/>
    <w:rsid w:val="26AF5308"/>
    <w:rsid w:val="30353047"/>
    <w:rsid w:val="344A48C2"/>
    <w:rsid w:val="35E36D7D"/>
    <w:rsid w:val="3C0D4B53"/>
    <w:rsid w:val="41B810BD"/>
    <w:rsid w:val="42E6622B"/>
    <w:rsid w:val="46902609"/>
    <w:rsid w:val="4C082C41"/>
    <w:rsid w:val="4E733164"/>
    <w:rsid w:val="52E47178"/>
    <w:rsid w:val="53167EA3"/>
    <w:rsid w:val="641A130C"/>
    <w:rsid w:val="6A285362"/>
    <w:rsid w:val="6C7D4657"/>
    <w:rsid w:val="759C7DD3"/>
    <w:rsid w:val="7AF8696D"/>
    <w:rsid w:val="7D8A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sz w:val="28"/>
      <w:szCs w:val="28"/>
    </w:rPr>
  </w:style>
  <w:style w:type="character" w:default="1" w:styleId="11">
    <w:name w:val="Default Paragraph Font"/>
    <w:autoRedefine/>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oa heading"/>
    <w:basedOn w:val="4"/>
    <w:next w:val="4"/>
    <w:autoRedefine/>
    <w:qFormat/>
    <w:uiPriority w:val="0"/>
    <w:pPr>
      <w:autoSpaceDE w:val="0"/>
      <w:autoSpaceDN w:val="0"/>
      <w:spacing w:line="520" w:lineRule="exact"/>
    </w:pPr>
    <w:rPr>
      <w:rFonts w:ascii="宋体" w:hAnsi="宋体" w:cs="Arial"/>
      <w:sz w:val="28"/>
    </w:rPr>
  </w:style>
  <w:style w:type="paragraph" w:customStyle="1" w:styleId="4">
    <w:name w:val="Normal_19_0"/>
    <w:autoRedefine/>
    <w:qFormat/>
    <w:uiPriority w:val="0"/>
    <w:rPr>
      <w:rFonts w:ascii="Times New Roman" w:hAnsi="Times New Roman" w:eastAsia="Times New Roman" w:cs="Times New Roman"/>
      <w:sz w:val="24"/>
      <w:szCs w:val="24"/>
      <w:lang w:val="en-US" w:eastAsia="zh-CN" w:bidi="ar-SA"/>
    </w:rPr>
  </w:style>
  <w:style w:type="paragraph" w:styleId="5">
    <w:name w:val="Body Text"/>
    <w:basedOn w:val="1"/>
    <w:next w:val="1"/>
    <w:autoRedefine/>
    <w:qFormat/>
    <w:uiPriority w:val="0"/>
    <w:rPr>
      <w:rFonts w:ascii="楷体_GB2312" w:hAnsi="Arial" w:eastAsia="楷体_GB2312"/>
      <w:sz w:val="28"/>
      <w:szCs w:val="28"/>
    </w:rPr>
  </w:style>
  <w:style w:type="paragraph" w:styleId="6">
    <w:name w:val="Plain Text"/>
    <w:basedOn w:val="1"/>
    <w:autoRedefine/>
    <w:qFormat/>
    <w:uiPriority w:val="0"/>
    <w:rPr>
      <w:rFonts w:ascii="宋体" w:hAnsi="Courier New" w:cs="Courier New"/>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3">
    <w:name w:val="正文_2_1_0"/>
    <w:autoRedefine/>
    <w:qFormat/>
    <w:uiPriority w:val="0"/>
    <w:pPr>
      <w:widowControl w:val="0"/>
      <w:jc w:val="both"/>
    </w:pPr>
    <w:rPr>
      <w:rFonts w:ascii="Calibri" w:hAnsi="Calibri" w:eastAsia="宋体" w:cs="Times New Roman"/>
      <w:lang w:val="en-US" w:eastAsia="zh-CN" w:bidi="ar-SA"/>
    </w:rPr>
  </w:style>
  <w:style w:type="paragraph" w:customStyle="1" w:styleId="14">
    <w:name w:val="Normal_19"/>
    <w:basedOn w:val="15"/>
    <w:autoRedefine/>
    <w:qFormat/>
    <w:uiPriority w:val="0"/>
    <w:pPr>
      <w:widowControl w:val="0"/>
      <w:jc w:val="both"/>
    </w:pPr>
    <w:rPr>
      <w:rFonts w:ascii="Calibri" w:hAnsi="Calibri" w:eastAsia="宋体" w:cs="Calibri"/>
      <w:szCs w:val="21"/>
    </w:rPr>
  </w:style>
  <w:style w:type="paragraph" w:customStyle="1" w:styleId="15">
    <w:name w:val="正文_2_0"/>
    <w:basedOn w:val="16"/>
    <w:next w:val="16"/>
    <w:autoRedefine/>
    <w:qFormat/>
    <w:uiPriority w:val="0"/>
    <w:rPr>
      <w:rFonts w:eastAsia="Times New Roman"/>
    </w:rPr>
  </w:style>
  <w:style w:type="paragraph" w:customStyle="1" w:styleId="16">
    <w:name w:val="Normal_0_2"/>
    <w:autoRedefine/>
    <w:qFormat/>
    <w:uiPriority w:val="0"/>
    <w:pPr>
      <w:widowControl w:val="0"/>
      <w:jc w:val="both"/>
    </w:pPr>
    <w:rPr>
      <w:rFonts w:hint="default" w:ascii="Calibri" w:hAnsi="Calibri" w:eastAsia="宋体" w:cs="Calibri"/>
      <w:sz w:val="21"/>
      <w:szCs w:val="21"/>
      <w:lang w:val="en-US" w:eastAsia="zh-CN" w:bidi="ar-SA"/>
    </w:rPr>
  </w:style>
  <w:style w:type="paragraph" w:customStyle="1" w:styleId="17">
    <w:name w:val="无间隔1_0_0"/>
    <w:basedOn w:val="14"/>
    <w:autoRedefine/>
    <w:qFormat/>
    <w:uiPriority w:val="0"/>
    <w:pPr>
      <w:spacing w:line="400" w:lineRule="exact"/>
    </w:pPr>
    <w:rPr>
      <w:rFonts w:ascii="Times New Roman" w:hAnsi="Times New Roman" w:eastAsia="Times New Roman" w:cs="Times New Roman"/>
      <w:color w:val="000000"/>
      <w:sz w:val="24"/>
      <w:szCs w:val="24"/>
    </w:rPr>
  </w:style>
  <w:style w:type="character" w:customStyle="1" w:styleId="18">
    <w:name w:val="font41"/>
    <w:basedOn w:val="11"/>
    <w:autoRedefine/>
    <w:qFormat/>
    <w:uiPriority w:val="0"/>
    <w:rPr>
      <w:rFonts w:hint="eastAsia" w:ascii="宋体" w:hAnsi="宋体" w:eastAsia="宋体" w:cs="宋体"/>
      <w:color w:val="000000"/>
      <w:sz w:val="24"/>
      <w:szCs w:val="24"/>
      <w:u w:val="none"/>
    </w:rPr>
  </w:style>
  <w:style w:type="paragraph" w:customStyle="1" w:styleId="19">
    <w:name w:val="正文_2_0_1"/>
    <w:next w:val="2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首行缩进 2_0_0_0"/>
    <w:basedOn w:val="1"/>
    <w:next w:val="19"/>
    <w:autoRedefine/>
    <w:qFormat/>
    <w:uiPriority w:val="99"/>
    <w:pPr>
      <w:ind w:firstLine="420" w:firstLineChars="200"/>
    </w:pPr>
    <w:rPr>
      <w:szCs w:val="22"/>
      <w:lang w:val="en-US" w:eastAsia="zh-CN"/>
    </w:rPr>
  </w:style>
  <w:style w:type="paragraph" w:customStyle="1" w:styleId="21">
    <w:name w:val="正文_2_1_0_0"/>
    <w:autoRedefine/>
    <w:qFormat/>
    <w:uiPriority w:val="0"/>
    <w:pPr>
      <w:widowControl w:val="0"/>
      <w:jc w:val="both"/>
    </w:pPr>
    <w:rPr>
      <w:rFonts w:ascii="Calibri" w:hAnsi="Calibri" w:eastAsia="宋体" w:cs="Times New Roman"/>
      <w:lang w:val="en-US" w:eastAsia="zh-CN" w:bidi="ar-SA"/>
    </w:rPr>
  </w:style>
  <w:style w:type="paragraph" w:customStyle="1" w:styleId="22">
    <w:name w:val="Normal_20"/>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23">
    <w:name w:val="Normal_20_0"/>
    <w:next w:val="24"/>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customStyle="1" w:styleId="24">
    <w:name w:val="正文文本1"/>
    <w:basedOn w:val="22"/>
    <w:autoRedefine/>
    <w:unhideWhenUsed/>
    <w:qFormat/>
    <w:uiPriority w:val="99"/>
    <w:pPr>
      <w:spacing w:line="440" w:lineRule="exact"/>
    </w:pPr>
    <w:rPr>
      <w:rFonts w:ascii="宋体" w:hAnsi="宋体"/>
      <w:bCs/>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2024-03-04T08:59:00Z</dcterms:created>
  <dc:creator>Administrator</dc:creator>
  <cp:lastModifiedBy>简单</cp:lastModifiedBy>
  <dcterms:modified xsi:type="dcterms:W3CDTF">2024-03-28T10:41:04Z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5ECF4B42720D4E9BAC1849135FD49870_12</vt:lpwstr>
  </property>
</Properties>
</file>